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60A0" w:rsidRDefault="006E60A0" w:rsidP="006E60A0">
      <w:pPr>
        <w:autoSpaceDE w:val="0"/>
        <w:autoSpaceDN w:val="0"/>
        <w:adjustRightInd w:val="0"/>
        <w:jc w:val="center"/>
        <w:rPr>
          <w:rFonts w:ascii="Calibri,Bold" w:hAnsi="Calibri,Bold" w:cs="Calibri,Bold"/>
          <w:b/>
          <w:bCs/>
          <w:sz w:val="28"/>
          <w:szCs w:val="28"/>
        </w:rPr>
      </w:pPr>
    </w:p>
    <w:p w:rsidR="00C70C32" w:rsidRDefault="00C70C32" w:rsidP="00C70C32">
      <w:pPr>
        <w:autoSpaceDE w:val="0"/>
        <w:autoSpaceDN w:val="0"/>
        <w:adjustRightInd w:val="0"/>
        <w:jc w:val="center"/>
        <w:rPr>
          <w:rFonts w:ascii="Calibri,Bold" w:hAnsi="Calibri,Bold" w:cs="Calibri,Bold"/>
          <w:b/>
          <w:bCs/>
          <w:sz w:val="28"/>
          <w:szCs w:val="28"/>
        </w:rPr>
      </w:pPr>
    </w:p>
    <w:p w:rsidR="006E60A0" w:rsidRPr="000F3A8E" w:rsidRDefault="006E60A0" w:rsidP="00C70C32">
      <w:pPr>
        <w:autoSpaceDE w:val="0"/>
        <w:autoSpaceDN w:val="0"/>
        <w:adjustRightInd w:val="0"/>
        <w:jc w:val="center"/>
        <w:rPr>
          <w:rFonts w:ascii="Calibri,Bold" w:hAnsi="Calibri,Bold" w:cs="Calibri,Bold"/>
          <w:b/>
          <w:bCs/>
          <w:sz w:val="28"/>
          <w:szCs w:val="28"/>
        </w:rPr>
      </w:pPr>
      <w:r w:rsidRPr="000F3A8E">
        <w:rPr>
          <w:rFonts w:ascii="Calibri,Bold" w:hAnsi="Calibri,Bold" w:cs="Calibri,Bold"/>
          <w:b/>
          <w:bCs/>
          <w:sz w:val="28"/>
          <w:szCs w:val="28"/>
        </w:rPr>
        <w:t xml:space="preserve">Allegato </w:t>
      </w:r>
      <w:r>
        <w:rPr>
          <w:rFonts w:ascii="Calibri,Bold" w:hAnsi="Calibri,Bold" w:cs="Calibri,Bold"/>
          <w:b/>
          <w:bCs/>
          <w:sz w:val="28"/>
          <w:szCs w:val="28"/>
        </w:rPr>
        <w:t>C</w:t>
      </w:r>
    </w:p>
    <w:p w:rsidR="006E60A0" w:rsidRPr="000F3A8E" w:rsidRDefault="006E60A0" w:rsidP="006E60A0">
      <w:pPr>
        <w:autoSpaceDE w:val="0"/>
        <w:autoSpaceDN w:val="0"/>
        <w:adjustRightInd w:val="0"/>
        <w:spacing w:after="240" w:line="240" w:lineRule="atLeast"/>
        <w:jc w:val="center"/>
        <w:rPr>
          <w:rFonts w:ascii="Calibri,Bold" w:hAnsi="Calibri,Bold" w:cs="Calibri,Bold"/>
          <w:b/>
          <w:bCs/>
          <w:sz w:val="28"/>
          <w:szCs w:val="28"/>
        </w:rPr>
      </w:pPr>
    </w:p>
    <w:p w:rsidR="006E60A0" w:rsidRPr="000F3A8E" w:rsidRDefault="006E60A0" w:rsidP="006E60A0">
      <w:pPr>
        <w:autoSpaceDE w:val="0"/>
        <w:autoSpaceDN w:val="0"/>
        <w:adjustRightInd w:val="0"/>
        <w:spacing w:after="240" w:line="240" w:lineRule="atLeast"/>
        <w:jc w:val="center"/>
        <w:rPr>
          <w:rFonts w:ascii="Calibri,Bold" w:hAnsi="Calibri,Bold" w:cs="Calibri,Bold"/>
          <w:b/>
          <w:bCs/>
          <w:sz w:val="28"/>
          <w:szCs w:val="28"/>
        </w:rPr>
      </w:pPr>
    </w:p>
    <w:p w:rsidR="006E60A0" w:rsidRPr="000F3A8E" w:rsidRDefault="006E60A0" w:rsidP="006E60A0">
      <w:pPr>
        <w:autoSpaceDE w:val="0"/>
        <w:autoSpaceDN w:val="0"/>
        <w:adjustRightInd w:val="0"/>
        <w:spacing w:after="240" w:line="240" w:lineRule="atLeast"/>
        <w:jc w:val="center"/>
        <w:rPr>
          <w:rFonts w:ascii="Calibri,Bold" w:hAnsi="Calibri,Bold" w:cs="Calibri,Bold"/>
          <w:b/>
          <w:bCs/>
          <w:sz w:val="28"/>
          <w:szCs w:val="28"/>
        </w:rPr>
      </w:pPr>
    </w:p>
    <w:p w:rsidR="006E60A0" w:rsidRDefault="006E60A0" w:rsidP="006E60A0">
      <w:pPr>
        <w:autoSpaceDE w:val="0"/>
        <w:autoSpaceDN w:val="0"/>
        <w:adjustRightInd w:val="0"/>
        <w:spacing w:after="240" w:line="240" w:lineRule="atLeast"/>
        <w:jc w:val="center"/>
        <w:rPr>
          <w:rFonts w:ascii="Cambria" w:hAnsi="Cambria"/>
          <w:b/>
          <w:sz w:val="28"/>
          <w:szCs w:val="28"/>
        </w:rPr>
      </w:pPr>
    </w:p>
    <w:p w:rsidR="006E60A0" w:rsidRDefault="006E60A0" w:rsidP="006E60A0">
      <w:pPr>
        <w:autoSpaceDE w:val="0"/>
        <w:autoSpaceDN w:val="0"/>
        <w:adjustRightInd w:val="0"/>
        <w:spacing w:after="240" w:line="240" w:lineRule="atLeast"/>
        <w:jc w:val="center"/>
        <w:rPr>
          <w:rFonts w:ascii="Cambria" w:hAnsi="Cambria"/>
          <w:b/>
          <w:sz w:val="28"/>
          <w:szCs w:val="28"/>
        </w:rPr>
      </w:pPr>
    </w:p>
    <w:p w:rsidR="006E60A0" w:rsidRDefault="006E60A0" w:rsidP="006E60A0">
      <w:pPr>
        <w:autoSpaceDE w:val="0"/>
        <w:autoSpaceDN w:val="0"/>
        <w:adjustRightInd w:val="0"/>
        <w:spacing w:after="240" w:line="240" w:lineRule="atLeast"/>
        <w:jc w:val="center"/>
        <w:rPr>
          <w:rFonts w:ascii="Cambria" w:hAnsi="Cambria"/>
          <w:b/>
          <w:sz w:val="28"/>
          <w:szCs w:val="28"/>
        </w:rPr>
      </w:pPr>
    </w:p>
    <w:p w:rsidR="006E60A0" w:rsidRDefault="006E60A0" w:rsidP="006E60A0">
      <w:pPr>
        <w:autoSpaceDE w:val="0"/>
        <w:autoSpaceDN w:val="0"/>
        <w:adjustRightInd w:val="0"/>
        <w:spacing w:after="240" w:line="240" w:lineRule="atLeast"/>
        <w:jc w:val="center"/>
        <w:rPr>
          <w:rFonts w:ascii="Cambria" w:hAnsi="Cambria"/>
          <w:b/>
          <w:sz w:val="28"/>
          <w:szCs w:val="28"/>
        </w:rPr>
      </w:pPr>
      <w:r>
        <w:rPr>
          <w:rFonts w:ascii="Cambria" w:hAnsi="Cambria"/>
          <w:b/>
          <w:sz w:val="28"/>
          <w:szCs w:val="28"/>
        </w:rPr>
        <w:t xml:space="preserve">PIANO DELLE ALIENAZIONI IMMOBILIARI DEL COMUNE </w:t>
      </w:r>
      <w:proofErr w:type="spellStart"/>
      <w:r>
        <w:rPr>
          <w:rFonts w:ascii="Cambria" w:hAnsi="Cambria"/>
          <w:b/>
          <w:sz w:val="28"/>
          <w:szCs w:val="28"/>
        </w:rPr>
        <w:t>DI</w:t>
      </w:r>
      <w:proofErr w:type="spellEnd"/>
      <w:r>
        <w:rPr>
          <w:rFonts w:ascii="Cambria" w:hAnsi="Cambria"/>
          <w:b/>
          <w:sz w:val="28"/>
          <w:szCs w:val="28"/>
        </w:rPr>
        <w:t xml:space="preserve"> POTENZA</w:t>
      </w:r>
    </w:p>
    <w:p w:rsidR="006E60A0" w:rsidRDefault="006E60A0" w:rsidP="006E60A0">
      <w:pPr>
        <w:autoSpaceDE w:val="0"/>
        <w:autoSpaceDN w:val="0"/>
        <w:adjustRightInd w:val="0"/>
        <w:spacing w:after="240" w:line="240" w:lineRule="atLeast"/>
        <w:jc w:val="center"/>
        <w:rPr>
          <w:rFonts w:ascii="Cambria" w:hAnsi="Cambria"/>
          <w:b/>
          <w:sz w:val="28"/>
          <w:szCs w:val="28"/>
        </w:rPr>
      </w:pPr>
    </w:p>
    <w:p w:rsidR="006E60A0" w:rsidRDefault="006E60A0" w:rsidP="006E60A0">
      <w:pPr>
        <w:autoSpaceDE w:val="0"/>
        <w:autoSpaceDN w:val="0"/>
        <w:adjustRightInd w:val="0"/>
        <w:spacing w:after="240" w:line="240" w:lineRule="atLeast"/>
        <w:jc w:val="center"/>
        <w:rPr>
          <w:rFonts w:ascii="Cambria" w:hAnsi="Cambria"/>
          <w:b/>
          <w:sz w:val="28"/>
          <w:szCs w:val="28"/>
        </w:rPr>
      </w:pPr>
    </w:p>
    <w:p w:rsidR="006E60A0" w:rsidRDefault="006E60A0" w:rsidP="006E60A0">
      <w:pPr>
        <w:autoSpaceDE w:val="0"/>
        <w:autoSpaceDN w:val="0"/>
        <w:adjustRightInd w:val="0"/>
        <w:spacing w:after="240" w:line="240" w:lineRule="atLeast"/>
        <w:jc w:val="center"/>
        <w:rPr>
          <w:rFonts w:ascii="Cambria" w:hAnsi="Cambria"/>
          <w:b/>
          <w:sz w:val="28"/>
          <w:szCs w:val="28"/>
        </w:rPr>
      </w:pPr>
    </w:p>
    <w:p w:rsidR="006E60A0" w:rsidRDefault="006E60A0" w:rsidP="006E60A0">
      <w:pPr>
        <w:autoSpaceDE w:val="0"/>
        <w:autoSpaceDN w:val="0"/>
        <w:adjustRightInd w:val="0"/>
        <w:spacing w:after="240" w:line="240" w:lineRule="atLeast"/>
        <w:jc w:val="center"/>
        <w:rPr>
          <w:rFonts w:ascii="Cambria" w:hAnsi="Cambria"/>
          <w:b/>
          <w:sz w:val="28"/>
          <w:szCs w:val="28"/>
        </w:rPr>
      </w:pPr>
    </w:p>
    <w:p w:rsidR="006E60A0" w:rsidRDefault="006E60A0" w:rsidP="006E60A0">
      <w:pPr>
        <w:autoSpaceDE w:val="0"/>
        <w:autoSpaceDN w:val="0"/>
        <w:adjustRightInd w:val="0"/>
        <w:spacing w:after="240" w:line="240" w:lineRule="atLeast"/>
        <w:jc w:val="center"/>
        <w:rPr>
          <w:rFonts w:ascii="Cambria" w:hAnsi="Cambria"/>
          <w:b/>
          <w:sz w:val="28"/>
          <w:szCs w:val="28"/>
        </w:rPr>
      </w:pPr>
    </w:p>
    <w:p w:rsidR="006E60A0" w:rsidRDefault="006E60A0" w:rsidP="006E60A0">
      <w:pPr>
        <w:autoSpaceDE w:val="0"/>
        <w:autoSpaceDN w:val="0"/>
        <w:adjustRightInd w:val="0"/>
        <w:spacing w:after="240" w:line="240" w:lineRule="atLeast"/>
        <w:jc w:val="center"/>
        <w:rPr>
          <w:rFonts w:ascii="Cambria" w:hAnsi="Cambria"/>
          <w:b/>
          <w:sz w:val="28"/>
          <w:szCs w:val="28"/>
        </w:rPr>
      </w:pPr>
    </w:p>
    <w:p w:rsidR="006E60A0" w:rsidRDefault="006E60A0" w:rsidP="006E60A0">
      <w:pPr>
        <w:autoSpaceDE w:val="0"/>
        <w:autoSpaceDN w:val="0"/>
        <w:adjustRightInd w:val="0"/>
        <w:spacing w:after="240" w:line="240" w:lineRule="atLeast"/>
        <w:jc w:val="center"/>
        <w:rPr>
          <w:rFonts w:ascii="Cambria" w:hAnsi="Cambria"/>
          <w:b/>
          <w:sz w:val="28"/>
          <w:szCs w:val="28"/>
        </w:rPr>
      </w:pPr>
    </w:p>
    <w:p w:rsidR="006E60A0" w:rsidRDefault="006E60A0" w:rsidP="006E60A0">
      <w:pPr>
        <w:autoSpaceDE w:val="0"/>
        <w:autoSpaceDN w:val="0"/>
        <w:adjustRightInd w:val="0"/>
        <w:spacing w:after="240" w:line="240" w:lineRule="atLeast"/>
        <w:jc w:val="center"/>
        <w:rPr>
          <w:rFonts w:ascii="Cambria" w:hAnsi="Cambria"/>
          <w:b/>
          <w:sz w:val="28"/>
          <w:szCs w:val="28"/>
        </w:rPr>
      </w:pPr>
    </w:p>
    <w:p w:rsidR="006E60A0" w:rsidRDefault="006E60A0" w:rsidP="006E60A0">
      <w:pPr>
        <w:autoSpaceDE w:val="0"/>
        <w:autoSpaceDN w:val="0"/>
        <w:adjustRightInd w:val="0"/>
        <w:spacing w:after="240" w:line="240" w:lineRule="atLeast"/>
        <w:jc w:val="center"/>
        <w:rPr>
          <w:rFonts w:ascii="Cambria" w:hAnsi="Cambria"/>
          <w:b/>
          <w:sz w:val="28"/>
          <w:szCs w:val="28"/>
        </w:rPr>
      </w:pPr>
    </w:p>
    <w:p w:rsidR="006E60A0" w:rsidRDefault="006E60A0" w:rsidP="006E60A0">
      <w:pPr>
        <w:autoSpaceDE w:val="0"/>
        <w:autoSpaceDN w:val="0"/>
        <w:adjustRightInd w:val="0"/>
        <w:spacing w:after="240" w:line="240" w:lineRule="atLeast"/>
        <w:jc w:val="center"/>
        <w:rPr>
          <w:rFonts w:ascii="Cambria" w:hAnsi="Cambria"/>
          <w:b/>
          <w:sz w:val="28"/>
          <w:szCs w:val="28"/>
        </w:rPr>
      </w:pPr>
    </w:p>
    <w:p w:rsidR="006E60A0" w:rsidRDefault="006E60A0" w:rsidP="006E60A0">
      <w:pPr>
        <w:autoSpaceDE w:val="0"/>
        <w:autoSpaceDN w:val="0"/>
        <w:adjustRightInd w:val="0"/>
        <w:spacing w:after="240" w:line="240" w:lineRule="atLeast"/>
        <w:jc w:val="center"/>
        <w:rPr>
          <w:rFonts w:ascii="Cambria" w:hAnsi="Cambria"/>
          <w:b/>
          <w:sz w:val="28"/>
          <w:szCs w:val="28"/>
        </w:rPr>
      </w:pPr>
    </w:p>
    <w:p w:rsidR="006E60A0" w:rsidRDefault="006E60A0" w:rsidP="006E60A0">
      <w:pPr>
        <w:autoSpaceDE w:val="0"/>
        <w:autoSpaceDN w:val="0"/>
        <w:adjustRightInd w:val="0"/>
        <w:spacing w:after="240" w:line="240" w:lineRule="atLeast"/>
        <w:jc w:val="center"/>
        <w:rPr>
          <w:rFonts w:ascii="Cambria" w:hAnsi="Cambria"/>
          <w:b/>
          <w:sz w:val="28"/>
          <w:szCs w:val="28"/>
        </w:rPr>
      </w:pPr>
    </w:p>
    <w:p w:rsidR="006E60A0" w:rsidRPr="000F3A8E" w:rsidRDefault="006E60A0" w:rsidP="006E60A0">
      <w:pPr>
        <w:autoSpaceDE w:val="0"/>
        <w:autoSpaceDN w:val="0"/>
        <w:adjustRightInd w:val="0"/>
        <w:spacing w:after="240" w:line="240" w:lineRule="atLeast"/>
        <w:jc w:val="center"/>
        <w:rPr>
          <w:rFonts w:ascii="Calibri,Bold" w:hAnsi="Calibri,Bold" w:cs="Calibri,Bold"/>
          <w:b/>
          <w:bCs/>
          <w:sz w:val="28"/>
          <w:szCs w:val="28"/>
        </w:rPr>
      </w:pPr>
    </w:p>
    <w:p w:rsidR="006E60A0" w:rsidRDefault="006E60A0">
      <w:pPr>
        <w:jc w:val="center"/>
        <w:rPr>
          <w:rFonts w:ascii="Cambria" w:hAnsi="Cambria"/>
          <w:b/>
          <w:sz w:val="28"/>
          <w:szCs w:val="28"/>
        </w:rPr>
      </w:pPr>
    </w:p>
    <w:p w:rsidR="006E60A0" w:rsidRDefault="006E60A0">
      <w:pPr>
        <w:jc w:val="center"/>
        <w:rPr>
          <w:rFonts w:ascii="Cambria" w:hAnsi="Cambria"/>
          <w:b/>
          <w:sz w:val="28"/>
          <w:szCs w:val="28"/>
        </w:rPr>
      </w:pPr>
    </w:p>
    <w:p w:rsidR="006E60A0" w:rsidRDefault="006E60A0">
      <w:pPr>
        <w:jc w:val="center"/>
        <w:rPr>
          <w:rFonts w:ascii="Cambria" w:hAnsi="Cambria"/>
          <w:b/>
          <w:sz w:val="28"/>
          <w:szCs w:val="28"/>
        </w:rPr>
      </w:pPr>
    </w:p>
    <w:p w:rsidR="006E60A0" w:rsidRDefault="006E60A0">
      <w:pPr>
        <w:jc w:val="center"/>
        <w:rPr>
          <w:rFonts w:ascii="Cambria" w:hAnsi="Cambria"/>
          <w:b/>
          <w:sz w:val="28"/>
          <w:szCs w:val="28"/>
        </w:rPr>
      </w:pPr>
    </w:p>
    <w:p w:rsidR="006E60A0" w:rsidRDefault="006E60A0">
      <w:pPr>
        <w:jc w:val="center"/>
        <w:rPr>
          <w:rFonts w:ascii="Cambria" w:hAnsi="Cambria"/>
          <w:b/>
          <w:sz w:val="28"/>
          <w:szCs w:val="28"/>
        </w:rPr>
      </w:pPr>
    </w:p>
    <w:p w:rsidR="006E60A0" w:rsidRDefault="006E60A0">
      <w:pPr>
        <w:jc w:val="center"/>
        <w:rPr>
          <w:rFonts w:ascii="Cambria" w:hAnsi="Cambria"/>
          <w:b/>
          <w:sz w:val="28"/>
          <w:szCs w:val="28"/>
        </w:rPr>
      </w:pPr>
    </w:p>
    <w:p w:rsidR="006E60A0" w:rsidRDefault="006E60A0">
      <w:pPr>
        <w:jc w:val="center"/>
        <w:rPr>
          <w:rFonts w:ascii="Cambria" w:hAnsi="Cambria"/>
          <w:b/>
          <w:sz w:val="28"/>
          <w:szCs w:val="28"/>
        </w:rPr>
      </w:pPr>
    </w:p>
    <w:p w:rsidR="002B28D0" w:rsidRDefault="00CB11A9">
      <w:pPr>
        <w:jc w:val="center"/>
        <w:rPr>
          <w:rFonts w:ascii="Cambria" w:hAnsi="Cambria"/>
          <w:b/>
          <w:sz w:val="28"/>
          <w:szCs w:val="28"/>
        </w:rPr>
      </w:pPr>
      <w:r>
        <w:rPr>
          <w:rFonts w:ascii="Cambria" w:hAnsi="Cambria"/>
          <w:b/>
          <w:sz w:val="28"/>
          <w:szCs w:val="28"/>
        </w:rPr>
        <w:t>IL PIANO DELLE ALIENAZIONI IMMOBILIARI EX ART 58 LEGGE N. 133/2008</w:t>
      </w:r>
    </w:p>
    <w:p w:rsidR="002B28D0" w:rsidRPr="006E60A0" w:rsidRDefault="002B28D0">
      <w:pPr>
        <w:jc w:val="both"/>
        <w:rPr>
          <w:rFonts w:asciiTheme="minorHAnsi" w:hAnsiTheme="minorHAnsi" w:cs="Arial"/>
          <w:b/>
          <w:bCs/>
          <w:sz w:val="22"/>
          <w:szCs w:val="22"/>
        </w:rPr>
      </w:pPr>
    </w:p>
    <w:p w:rsidR="002B28D0" w:rsidRDefault="00CB11A9">
      <w:pPr>
        <w:jc w:val="both"/>
        <w:rPr>
          <w:rFonts w:asciiTheme="minorHAnsi" w:eastAsia="Book Antiqua" w:hAnsiTheme="minorHAnsi" w:cs="Book Antiqua"/>
          <w:sz w:val="22"/>
          <w:szCs w:val="22"/>
          <w:lang w:eastAsia="en-US"/>
        </w:rPr>
      </w:pPr>
      <w:r>
        <w:rPr>
          <w:rFonts w:asciiTheme="minorHAnsi" w:hAnsiTheme="minorHAnsi"/>
          <w:sz w:val="22"/>
          <w:szCs w:val="22"/>
        </w:rPr>
        <w:t>Con la Legge 6 agosto 2008 n. 133 è stato convertito, con modificazioni, il Decreto Legge 25 giugno 2008, n. 112,</w:t>
      </w:r>
      <w:r>
        <w:rPr>
          <w:rFonts w:asciiTheme="minorHAnsi" w:hAnsiTheme="minorHAnsi" w:cs="Book Antiqua"/>
          <w:sz w:val="22"/>
          <w:szCs w:val="22"/>
          <w:lang w:eastAsia="en-US"/>
        </w:rPr>
        <w:t xml:space="preserve"> recante </w:t>
      </w:r>
      <w:r>
        <w:rPr>
          <w:rFonts w:asciiTheme="minorHAnsi" w:hAnsiTheme="minorHAnsi" w:cs="Book Antiqua"/>
          <w:i/>
          <w:iCs/>
          <w:sz w:val="22"/>
          <w:szCs w:val="22"/>
          <w:lang w:eastAsia="en-US"/>
        </w:rPr>
        <w:t>"Disposizioni urgenti per lo sviluppo economico, la semplificazione, la competitività, la stabilizzazione della finanza pubblica e la perequazione tributaria"</w:t>
      </w:r>
      <w:r>
        <w:rPr>
          <w:rFonts w:asciiTheme="minorHAnsi" w:hAnsiTheme="minorHAnsi" w:cs="Book Antiqua"/>
          <w:sz w:val="22"/>
          <w:szCs w:val="22"/>
          <w:lang w:eastAsia="en-US"/>
        </w:rPr>
        <w:t>.</w:t>
      </w:r>
    </w:p>
    <w:p w:rsidR="002B28D0" w:rsidRDefault="00CB11A9">
      <w:pPr>
        <w:jc w:val="both"/>
        <w:rPr>
          <w:rFonts w:asciiTheme="minorHAnsi" w:eastAsia="Book Antiqua" w:hAnsiTheme="minorHAnsi" w:cs="Book Antiqua"/>
          <w:sz w:val="22"/>
          <w:szCs w:val="22"/>
          <w:lang w:eastAsia="en-US"/>
        </w:rPr>
      </w:pPr>
      <w:r>
        <w:rPr>
          <w:rFonts w:asciiTheme="minorHAnsi" w:hAnsiTheme="minorHAnsi" w:cs="Book Antiqua"/>
          <w:sz w:val="22"/>
          <w:szCs w:val="22"/>
          <w:lang w:eastAsia="en-US"/>
        </w:rPr>
        <w:t xml:space="preserve">La Legge ha disposto un’operazione di riordino, gestione e valorizzazione del patrimonio immobiliare di Regioni, Comuni ed altri Enti locali. </w:t>
      </w:r>
      <w:r>
        <w:rPr>
          <w:rFonts w:asciiTheme="minorHAnsi" w:eastAsia="Book Antiqua" w:hAnsiTheme="minorHAnsi" w:cs="Book Antiqua"/>
          <w:sz w:val="22"/>
          <w:szCs w:val="22"/>
          <w:lang w:eastAsia="en-US"/>
        </w:rPr>
        <w:t>I</w:t>
      </w:r>
      <w:r>
        <w:rPr>
          <w:rFonts w:asciiTheme="minorHAnsi" w:hAnsiTheme="minorHAnsi" w:cs="Book Antiqua"/>
          <w:sz w:val="22"/>
          <w:szCs w:val="22"/>
          <w:lang w:eastAsia="en-US"/>
        </w:rPr>
        <w:t xml:space="preserve">n particolare l’art. 58 recante </w:t>
      </w:r>
      <w:r>
        <w:rPr>
          <w:rFonts w:asciiTheme="minorHAnsi" w:hAnsiTheme="minorHAnsi" w:cs="Book Antiqua"/>
          <w:i/>
          <w:sz w:val="22"/>
          <w:szCs w:val="22"/>
          <w:lang w:eastAsia="en-US"/>
        </w:rPr>
        <w:t>"Ricognizione e valorizzazione del patrimonio immobiliare di Regioni, Provincie, Comuni ed altri Enti locali"</w:t>
      </w:r>
      <w:r>
        <w:rPr>
          <w:rFonts w:asciiTheme="minorHAnsi" w:hAnsiTheme="minorHAnsi" w:cs="Book Antiqua"/>
          <w:sz w:val="22"/>
          <w:szCs w:val="22"/>
          <w:lang w:eastAsia="en-US"/>
        </w:rPr>
        <w:t xml:space="preserve"> prevede al comma 1 che ciascun Ente, con delibera dell’organo di go</w:t>
      </w:r>
      <w:bookmarkStart w:id="0" w:name="_GoBack"/>
      <w:bookmarkEnd w:id="0"/>
      <w:r>
        <w:rPr>
          <w:rFonts w:asciiTheme="minorHAnsi" w:hAnsiTheme="minorHAnsi" w:cs="Book Antiqua"/>
          <w:sz w:val="22"/>
          <w:szCs w:val="22"/>
          <w:lang w:eastAsia="en-US"/>
        </w:rPr>
        <w:t>verno, individui, redigendo un apposito elenco, i singoli beni immobili ricadenti nel territorio di competenza, non strumentali all’esercizio delle proprie funzioni istituzionali, suscettibili di valorizzazione ovvero di dismissione, redigendo così il piano delle alienazioni e valorizzazioni immobiliari da allegare al bilancio di previsione.</w:t>
      </w:r>
    </w:p>
    <w:p w:rsidR="002B28D0" w:rsidRDefault="00CB11A9">
      <w:pPr>
        <w:pStyle w:val="Corpodeltesto2"/>
        <w:spacing w:after="0" w:line="240" w:lineRule="auto"/>
        <w:jc w:val="both"/>
        <w:rPr>
          <w:rFonts w:asciiTheme="minorHAnsi" w:hAnsiTheme="minorHAnsi" w:cs="Book Antiqua"/>
          <w:sz w:val="22"/>
          <w:szCs w:val="22"/>
        </w:rPr>
      </w:pPr>
      <w:r>
        <w:rPr>
          <w:rFonts w:asciiTheme="minorHAnsi" w:hAnsiTheme="minorHAnsi" w:cs="Book Antiqua"/>
          <w:sz w:val="22"/>
          <w:szCs w:val="22"/>
        </w:rPr>
        <w:t>Tale normativa, mediante notevoli semplificazioni operative, persegue l’obiettivo di procedere al riordino e alla valorizzazione del patrimonio degli enti in un’ottica non conservativa e statica dello stesso, ma quale assetto strategico –dinamico della gestione finanziaria.</w:t>
      </w:r>
    </w:p>
    <w:p w:rsidR="002B28D0" w:rsidRDefault="00CB11A9">
      <w:pPr>
        <w:pStyle w:val="Corpodeltesto2"/>
        <w:spacing w:after="0" w:line="240" w:lineRule="auto"/>
        <w:jc w:val="both"/>
        <w:rPr>
          <w:rFonts w:asciiTheme="minorHAnsi" w:hAnsiTheme="minorHAnsi" w:cs="Book Antiqua"/>
          <w:sz w:val="22"/>
          <w:szCs w:val="22"/>
        </w:rPr>
      </w:pPr>
      <w:r>
        <w:rPr>
          <w:rFonts w:asciiTheme="minorHAnsi" w:hAnsiTheme="minorHAnsi" w:cs="Book Antiqua"/>
          <w:sz w:val="22"/>
          <w:szCs w:val="22"/>
        </w:rPr>
        <w:t xml:space="preserve">In relazione al dettato normativo, è prevista, da parte degli enti, la predisposizione di un programma di alienazione, </w:t>
      </w:r>
      <w:r>
        <w:rPr>
          <w:rFonts w:asciiTheme="minorHAnsi" w:hAnsiTheme="minorHAnsi"/>
          <w:sz w:val="22"/>
          <w:szCs w:val="22"/>
        </w:rPr>
        <w:t>a seguito dell’attività di ricognizione del proprio patrimonio immobiliare, nei limiti della documentazione esistente presso gli archivi e uffici comunali.</w:t>
      </w:r>
    </w:p>
    <w:p w:rsidR="002B28D0" w:rsidRDefault="002B28D0">
      <w:pPr>
        <w:pStyle w:val="Corpodeltesto2"/>
        <w:spacing w:after="0" w:line="240" w:lineRule="auto"/>
        <w:jc w:val="both"/>
        <w:rPr>
          <w:rFonts w:asciiTheme="minorHAnsi" w:hAnsiTheme="minorHAnsi"/>
          <w:sz w:val="22"/>
          <w:szCs w:val="22"/>
        </w:rPr>
      </w:pPr>
    </w:p>
    <w:p w:rsidR="002B28D0" w:rsidRDefault="00CB11A9">
      <w:pPr>
        <w:pStyle w:val="Corpodeltesto2"/>
        <w:spacing w:after="0" w:line="240" w:lineRule="auto"/>
        <w:jc w:val="both"/>
        <w:rPr>
          <w:rFonts w:asciiTheme="minorHAnsi" w:hAnsiTheme="minorHAnsi"/>
          <w:sz w:val="22"/>
          <w:szCs w:val="22"/>
        </w:rPr>
      </w:pPr>
      <w:r>
        <w:rPr>
          <w:rFonts w:asciiTheme="minorHAnsi" w:hAnsiTheme="minorHAnsi"/>
          <w:sz w:val="22"/>
          <w:szCs w:val="22"/>
        </w:rPr>
        <w:t xml:space="preserve">Questa Amministrazione ha ottemperato, negli anni, all’obbligo giuridico dell’ 58, essendo l’adozione dello specifico deliberato qualificata dalla legge come presupposto di legittimità del bilancio oltre che propedeutica all’alienazione del patrimonio comunale. Il </w:t>
      </w:r>
      <w:r>
        <w:rPr>
          <w:rFonts w:asciiTheme="minorHAnsi" w:hAnsiTheme="minorHAnsi"/>
          <w:b/>
          <w:bCs/>
          <w:i/>
          <w:iCs/>
          <w:sz w:val="22"/>
          <w:szCs w:val="22"/>
        </w:rPr>
        <w:t>“Piano delle alienazioni e valorizzazioni immobiliari”</w:t>
      </w:r>
      <w:r>
        <w:rPr>
          <w:rFonts w:asciiTheme="minorHAnsi" w:hAnsiTheme="minorHAnsi"/>
          <w:i/>
          <w:iCs/>
          <w:sz w:val="22"/>
          <w:szCs w:val="22"/>
        </w:rPr>
        <w:t xml:space="preserve"> (PdAV) </w:t>
      </w:r>
      <w:r>
        <w:rPr>
          <w:rFonts w:asciiTheme="minorHAnsi" w:hAnsiTheme="minorHAnsi"/>
          <w:sz w:val="22"/>
          <w:szCs w:val="22"/>
        </w:rPr>
        <w:t xml:space="preserve">è stato, da ultimo,allegato alla Delibera di Consiglio Comunale n. 124 del 09/12/2013 di approvazione del Bilancio di Previsione 2013/2015 dell’Ente. </w:t>
      </w:r>
    </w:p>
    <w:p w:rsidR="002B28D0" w:rsidRDefault="00CB11A9">
      <w:pPr>
        <w:pStyle w:val="Corpodeltesto2"/>
        <w:spacing w:after="0" w:line="240" w:lineRule="auto"/>
        <w:jc w:val="both"/>
        <w:rPr>
          <w:rFonts w:asciiTheme="minorHAnsi" w:hAnsiTheme="minorHAnsi"/>
          <w:sz w:val="22"/>
          <w:szCs w:val="22"/>
        </w:rPr>
      </w:pPr>
      <w:r>
        <w:rPr>
          <w:rFonts w:asciiTheme="minorHAnsi" w:hAnsiTheme="minorHAnsi"/>
          <w:sz w:val="22"/>
          <w:szCs w:val="22"/>
        </w:rPr>
        <w:t xml:space="preserve">Le relative procedure, criteri e modalità di alienazione sono disciplinate dal </w:t>
      </w:r>
      <w:r>
        <w:rPr>
          <w:rFonts w:asciiTheme="minorHAnsi" w:hAnsiTheme="minorHAnsi"/>
          <w:i/>
          <w:iCs/>
          <w:sz w:val="22"/>
          <w:szCs w:val="22"/>
        </w:rPr>
        <w:t>Regolamento per la vendita e l’uso da parte di terzi dei beni immobili rientranti nella disponibilità dell’Amministrazione comunale</w:t>
      </w:r>
      <w:r>
        <w:rPr>
          <w:rFonts w:asciiTheme="minorHAnsi" w:hAnsiTheme="minorHAnsi"/>
          <w:sz w:val="22"/>
          <w:szCs w:val="22"/>
        </w:rPr>
        <w:t xml:space="preserve">, approvato con Deliberazione di Consiglio Comunale n. 144 del 05/12/2008. </w:t>
      </w:r>
    </w:p>
    <w:p w:rsidR="002B28D0" w:rsidRDefault="00CB11A9">
      <w:pPr>
        <w:pStyle w:val="Corpodeltesto2"/>
        <w:spacing w:after="0" w:line="240" w:lineRule="auto"/>
        <w:jc w:val="both"/>
        <w:rPr>
          <w:rFonts w:asciiTheme="minorHAnsi" w:hAnsiTheme="minorHAnsi" w:cs="Book Antiqua"/>
          <w:bCs/>
          <w:iCs/>
          <w:sz w:val="22"/>
          <w:szCs w:val="22"/>
        </w:rPr>
      </w:pPr>
      <w:r>
        <w:rPr>
          <w:rFonts w:asciiTheme="minorHAnsi" w:hAnsiTheme="minorHAnsi" w:cs="Book Antiqua"/>
          <w:bCs/>
          <w:iCs/>
          <w:sz w:val="22"/>
          <w:szCs w:val="22"/>
        </w:rPr>
        <w:t xml:space="preserve">Nell’ambito del piano delle alienazioni è stata deliberata anche la possibilità di procedere alla </w:t>
      </w:r>
      <w:r>
        <w:rPr>
          <w:rFonts w:asciiTheme="minorHAnsi" w:hAnsiTheme="minorHAnsi" w:cs="Book Antiqua"/>
          <w:b/>
          <w:bCs/>
          <w:i/>
          <w:iCs/>
          <w:sz w:val="22"/>
          <w:szCs w:val="22"/>
        </w:rPr>
        <w:t xml:space="preserve">alienazione dei diritti edificatori </w:t>
      </w:r>
      <w:r>
        <w:rPr>
          <w:rFonts w:asciiTheme="minorHAnsi" w:hAnsiTheme="minorHAnsi" w:cs="Book Antiqua"/>
          <w:bCs/>
          <w:iCs/>
          <w:sz w:val="22"/>
          <w:szCs w:val="22"/>
        </w:rPr>
        <w:t>espressi da alcuni terreni di proprietà comunale ricadenti in zona agricola, conservando al Comune la proprietà delle aree;</w:t>
      </w:r>
    </w:p>
    <w:p w:rsidR="002B28D0" w:rsidRDefault="002B28D0">
      <w:pPr>
        <w:pStyle w:val="Intestazione1"/>
        <w:jc w:val="both"/>
        <w:rPr>
          <w:rFonts w:asciiTheme="minorHAnsi" w:hAnsiTheme="minorHAnsi" w:cs="Book Antiqua"/>
          <w:bCs/>
          <w:sz w:val="22"/>
          <w:szCs w:val="22"/>
        </w:rPr>
      </w:pPr>
    </w:p>
    <w:p w:rsidR="002B28D0" w:rsidRDefault="00CB11A9">
      <w:pPr>
        <w:pStyle w:val="Intestazione1"/>
        <w:jc w:val="both"/>
        <w:rPr>
          <w:rFonts w:asciiTheme="minorHAnsi" w:hAnsiTheme="minorHAnsi" w:cs="Book Antiqua"/>
          <w:bCs/>
          <w:sz w:val="22"/>
          <w:szCs w:val="22"/>
        </w:rPr>
      </w:pPr>
      <w:r>
        <w:rPr>
          <w:rFonts w:asciiTheme="minorHAnsi" w:hAnsiTheme="minorHAnsi" w:cs="Book Antiqua"/>
          <w:bCs/>
          <w:sz w:val="22"/>
          <w:szCs w:val="22"/>
        </w:rPr>
        <w:t>L’Ente in precedenza, già prima della norma recata dall’art. 58 e poi anche contestualmente e successivamente alla medesima, è stato impegnato nel portare a compimento anche altri Programmi di alienazione del proprio patrimonio e più precisamente:</w:t>
      </w:r>
    </w:p>
    <w:p w:rsidR="002B28D0" w:rsidRDefault="00CB11A9">
      <w:pPr>
        <w:pStyle w:val="Intestazione1"/>
        <w:numPr>
          <w:ilvl w:val="0"/>
          <w:numId w:val="1"/>
        </w:numPr>
        <w:tabs>
          <w:tab w:val="left" w:pos="284"/>
        </w:tabs>
        <w:ind w:left="284" w:hanging="142"/>
        <w:jc w:val="both"/>
        <w:rPr>
          <w:rFonts w:asciiTheme="minorHAnsi" w:hAnsiTheme="minorHAnsi" w:cs="Book Antiqua"/>
          <w:bCs/>
          <w:sz w:val="22"/>
          <w:szCs w:val="22"/>
        </w:rPr>
      </w:pPr>
      <w:r>
        <w:rPr>
          <w:rFonts w:asciiTheme="minorHAnsi" w:hAnsiTheme="minorHAnsi" w:cs="Book Antiqua"/>
          <w:bCs/>
          <w:sz w:val="22"/>
          <w:szCs w:val="22"/>
        </w:rPr>
        <w:t xml:space="preserve">il </w:t>
      </w:r>
      <w:r>
        <w:rPr>
          <w:rFonts w:asciiTheme="minorHAnsi" w:hAnsiTheme="minorHAnsi" w:cs="Book Antiqua"/>
          <w:b/>
          <w:i/>
          <w:iCs/>
          <w:sz w:val="22"/>
          <w:szCs w:val="22"/>
        </w:rPr>
        <w:t>Programma Straordinario di Dismissione attuato dalla Commissione Straordinaria di Liquidazione conseguente al dissesto finanziario dell’anno 1995</w:t>
      </w:r>
      <w:r>
        <w:rPr>
          <w:rFonts w:asciiTheme="minorHAnsi" w:hAnsiTheme="minorHAnsi" w:cs="Book Antiqua"/>
          <w:bCs/>
          <w:sz w:val="22"/>
          <w:szCs w:val="22"/>
        </w:rPr>
        <w:t xml:space="preserve"> nel quale sono confluiti, anche gli alloggi di Edilizia Residenziale Pubblica (E.R.P.) gestiti dall’A.T.E.R. e trasferiti </w:t>
      </w:r>
      <w:r>
        <w:rPr>
          <w:rFonts w:asciiTheme="minorHAnsi" w:hAnsiTheme="minorHAnsi" w:cs="Book Antiqua"/>
          <w:bCs/>
          <w:i/>
          <w:iCs/>
          <w:sz w:val="22"/>
          <w:szCs w:val="22"/>
        </w:rPr>
        <w:t>ope legis</w:t>
      </w:r>
      <w:r>
        <w:rPr>
          <w:rFonts w:asciiTheme="minorHAnsi" w:hAnsiTheme="minorHAnsi" w:cs="Book Antiqua"/>
          <w:bCs/>
          <w:sz w:val="22"/>
          <w:szCs w:val="22"/>
        </w:rPr>
        <w:t xml:space="preserve"> dall’Agenzia del Demanio con Verbali del 26 settembre 2005 e  del 14 novembre 2006, in attuazione della Legge n. 311/2004.</w:t>
      </w:r>
    </w:p>
    <w:p w:rsidR="002B28D0" w:rsidRDefault="00CB11A9">
      <w:pPr>
        <w:pStyle w:val="Intestazione1"/>
        <w:numPr>
          <w:ilvl w:val="0"/>
          <w:numId w:val="1"/>
        </w:numPr>
        <w:tabs>
          <w:tab w:val="left" w:pos="284"/>
        </w:tabs>
        <w:ind w:left="284" w:hanging="142"/>
        <w:jc w:val="both"/>
        <w:rPr>
          <w:rFonts w:asciiTheme="minorHAnsi" w:hAnsiTheme="minorHAnsi" w:cs="Book Antiqua"/>
          <w:bCs/>
          <w:sz w:val="22"/>
          <w:szCs w:val="22"/>
        </w:rPr>
      </w:pPr>
      <w:r>
        <w:rPr>
          <w:rFonts w:asciiTheme="minorHAnsi" w:hAnsiTheme="minorHAnsi" w:cs="Book Antiqua"/>
          <w:bCs/>
          <w:sz w:val="22"/>
          <w:szCs w:val="22"/>
        </w:rPr>
        <w:t xml:space="preserve">un ulteriore programma di vendita degli </w:t>
      </w:r>
      <w:r>
        <w:rPr>
          <w:rFonts w:asciiTheme="minorHAnsi" w:hAnsiTheme="minorHAnsi" w:cs="Book Antiqua"/>
          <w:b/>
          <w:i/>
          <w:iCs/>
          <w:sz w:val="22"/>
          <w:szCs w:val="22"/>
        </w:rPr>
        <w:t>immobili di Edilizia Residenziale Pubblica (E.R.P.)</w:t>
      </w:r>
      <w:r>
        <w:rPr>
          <w:rFonts w:asciiTheme="minorHAnsi" w:hAnsiTheme="minorHAnsi" w:cs="Book Antiqua"/>
          <w:bCs/>
          <w:sz w:val="22"/>
          <w:szCs w:val="22"/>
        </w:rPr>
        <w:t xml:space="preserve"> gestiti dall’A.T.E.R. e trasferiti </w:t>
      </w:r>
      <w:r>
        <w:rPr>
          <w:rFonts w:asciiTheme="minorHAnsi" w:hAnsiTheme="minorHAnsi" w:cs="Book Antiqua"/>
          <w:bCs/>
          <w:i/>
          <w:iCs/>
          <w:sz w:val="22"/>
          <w:szCs w:val="22"/>
        </w:rPr>
        <w:t>ope legis</w:t>
      </w:r>
      <w:r>
        <w:rPr>
          <w:rFonts w:asciiTheme="minorHAnsi" w:hAnsiTheme="minorHAnsi" w:cs="Book Antiqua"/>
          <w:bCs/>
          <w:sz w:val="22"/>
          <w:szCs w:val="22"/>
        </w:rPr>
        <w:t xml:space="preserve"> in proprietà al Comune di Potenza dall’Agenzia del Demanio con Verbali sottoscritti in data 4 luglio 2012 e 28 ottobre 2014, in attuazione della Legge n. 214/2011. </w:t>
      </w:r>
    </w:p>
    <w:p w:rsidR="002B28D0" w:rsidRDefault="00CB11A9">
      <w:pPr>
        <w:pStyle w:val="Intestazione1"/>
        <w:numPr>
          <w:ilvl w:val="0"/>
          <w:numId w:val="1"/>
        </w:numPr>
        <w:tabs>
          <w:tab w:val="left" w:pos="284"/>
        </w:tabs>
        <w:ind w:left="284" w:hanging="142"/>
        <w:jc w:val="both"/>
        <w:rPr>
          <w:rFonts w:asciiTheme="minorHAnsi" w:hAnsiTheme="minorHAnsi" w:cs="Book Antiqua"/>
          <w:sz w:val="22"/>
          <w:szCs w:val="22"/>
        </w:rPr>
      </w:pPr>
      <w:r>
        <w:rPr>
          <w:rFonts w:asciiTheme="minorHAnsi" w:hAnsiTheme="minorHAnsi" w:cs="Book Antiqua"/>
          <w:sz w:val="22"/>
          <w:szCs w:val="22"/>
        </w:rPr>
        <w:t xml:space="preserve">la </w:t>
      </w:r>
      <w:r>
        <w:rPr>
          <w:rFonts w:asciiTheme="minorHAnsi" w:hAnsiTheme="minorHAnsi" w:cs="Book Antiqua"/>
          <w:b/>
          <w:i/>
          <w:iCs/>
          <w:sz w:val="22"/>
          <w:szCs w:val="22"/>
        </w:rPr>
        <w:t>cessione, a titolo oneroso, delle</w:t>
      </w:r>
      <w:r>
        <w:rPr>
          <w:rFonts w:asciiTheme="minorHAnsi" w:hAnsiTheme="minorHAnsi" w:cs="Book Antiqua"/>
          <w:b/>
          <w:bCs/>
          <w:i/>
          <w:iCs/>
          <w:sz w:val="22"/>
          <w:szCs w:val="22"/>
        </w:rPr>
        <w:t>aree in località Macchia Giocoli e Murate</w:t>
      </w:r>
      <w:r>
        <w:rPr>
          <w:rFonts w:asciiTheme="minorHAnsi" w:hAnsiTheme="minorHAnsi" w:cs="Book Antiqua"/>
          <w:sz w:val="22"/>
          <w:szCs w:val="22"/>
        </w:rPr>
        <w:t>, alle cooperative o ai soci assegnatari degli alloggi ivi realizzati, in attuazione della Delibera di Consiglio Comunale n.  121 del 26/05/2011.</w:t>
      </w:r>
    </w:p>
    <w:p w:rsidR="002B28D0" w:rsidRDefault="002B28D0">
      <w:pPr>
        <w:pStyle w:val="Corpodeltesto"/>
      </w:pPr>
    </w:p>
    <w:p w:rsidR="002B28D0" w:rsidRDefault="00CB11A9">
      <w:pPr>
        <w:pStyle w:val="Intestazione1"/>
        <w:jc w:val="both"/>
        <w:rPr>
          <w:rFonts w:asciiTheme="minorHAnsi" w:hAnsiTheme="minorHAnsi" w:cs="Book Antiqua"/>
          <w:bCs/>
          <w:sz w:val="22"/>
          <w:szCs w:val="22"/>
        </w:rPr>
      </w:pPr>
      <w:r>
        <w:rPr>
          <w:rFonts w:asciiTheme="minorHAnsi" w:hAnsiTheme="minorHAnsi" w:cs="Book Antiqua"/>
          <w:bCs/>
          <w:sz w:val="22"/>
          <w:szCs w:val="22"/>
        </w:rPr>
        <w:t xml:space="preserve">Il Comune, dunque, ha già da tempo avviato un processo di graduale dismissione dei beni non strumentali all’esercizio delle proprie funzioni istituzionali al fine di pervenire ad una gestione più efficace e redditizia del patrimonio. </w:t>
      </w:r>
    </w:p>
    <w:p w:rsidR="002B28D0" w:rsidRDefault="002B28D0">
      <w:pPr>
        <w:pStyle w:val="Intestazione1"/>
        <w:jc w:val="both"/>
        <w:rPr>
          <w:rFonts w:asciiTheme="minorHAnsi" w:hAnsiTheme="minorHAnsi" w:cs="Book Antiqua"/>
          <w:bCs/>
          <w:sz w:val="22"/>
          <w:szCs w:val="22"/>
        </w:rPr>
      </w:pPr>
    </w:p>
    <w:p w:rsidR="002B28D0" w:rsidRDefault="00CB11A9">
      <w:pPr>
        <w:pStyle w:val="Intestazione1"/>
        <w:jc w:val="both"/>
        <w:rPr>
          <w:rFonts w:asciiTheme="minorHAnsi" w:hAnsiTheme="minorHAnsi" w:cs="Book Antiqua"/>
          <w:bCs/>
          <w:sz w:val="22"/>
          <w:szCs w:val="22"/>
        </w:rPr>
      </w:pPr>
      <w:r>
        <w:rPr>
          <w:rFonts w:asciiTheme="minorHAnsi" w:hAnsiTheme="minorHAnsi" w:cs="Book Antiqua"/>
          <w:bCs/>
          <w:sz w:val="22"/>
          <w:szCs w:val="22"/>
        </w:rPr>
        <w:t xml:space="preserve">Tale processo è stato recentemente condizionato dalla dichiarazione di dissesto finanziario dell’Ente, con Deliberazione del Consiglio Comunale n. 103 del 20/11/2014, a seguito della quale,  ai  sensi  dell’art.  244  e  seguenti  del  T.U.E.L.,  è  stato  nominato  l’Organo Straordinario di </w:t>
      </w:r>
      <w:r>
        <w:rPr>
          <w:rFonts w:asciiTheme="minorHAnsi" w:hAnsiTheme="minorHAnsi" w:cs="Book Antiqua"/>
          <w:bCs/>
          <w:sz w:val="22"/>
          <w:szCs w:val="22"/>
        </w:rPr>
        <w:lastRenderedPageBreak/>
        <w:t>Liquidazione  per  l’amministrazione  della  gestione  e  dell’indebitamento  pregresso,  nonché per  l’adozione  di  tutti  i  provvedimenti  per  l’estinzione  dei  debiti  dell’ente.</w:t>
      </w:r>
    </w:p>
    <w:p w:rsidR="002B28D0" w:rsidRDefault="00CB11A9">
      <w:pPr>
        <w:pStyle w:val="Intestazione1"/>
        <w:jc w:val="both"/>
      </w:pPr>
      <w:r>
        <w:rPr>
          <w:rFonts w:asciiTheme="minorHAnsi" w:hAnsiTheme="minorHAnsi" w:cs="Book Antiqua"/>
          <w:bCs/>
          <w:sz w:val="22"/>
          <w:szCs w:val="22"/>
        </w:rPr>
        <w:t>Il Ministero dell'Interno, nel corso dell'istruttoria al Bilancio stabilmente riequilibrato 2014-2017, conseguente al dissesto finanziario dell’Ente, ai sensi dell’art. 259 del T.U.E.L., ha chiesto la trasmissione del Piano delle alienazioni e valorizzazioni immobiliari (art. 58, comma 1, del D.L. 112/2008) e delle previsioni di entrate da alienazioni di beni patrimoniali disponibili con evidenziazione, anche alla luce del piano triennale delle alienazioni/valorizzazioni immobiliari, del cronoprogramma delle dismissioni e lo stato dei procedimenti di alienazione, tenendo presente che i proventi da alienazione devono essere finalizzati alla costituzione della massa attiva della liquidazione.</w:t>
      </w:r>
    </w:p>
    <w:p w:rsidR="002B28D0" w:rsidRDefault="002B28D0">
      <w:pPr>
        <w:pStyle w:val="Intestazione1"/>
        <w:jc w:val="both"/>
        <w:rPr>
          <w:rFonts w:asciiTheme="minorHAnsi" w:hAnsiTheme="minorHAnsi" w:cs="Book Antiqua"/>
          <w:bCs/>
          <w:sz w:val="22"/>
          <w:szCs w:val="22"/>
        </w:rPr>
      </w:pPr>
    </w:p>
    <w:p w:rsidR="002B28D0" w:rsidRDefault="00CB11A9">
      <w:pPr>
        <w:pStyle w:val="Intestazione1"/>
        <w:jc w:val="both"/>
        <w:rPr>
          <w:rFonts w:asciiTheme="minorHAnsi" w:hAnsiTheme="minorHAnsi" w:cs="Book Antiqua"/>
          <w:bCs/>
          <w:sz w:val="22"/>
          <w:szCs w:val="22"/>
        </w:rPr>
      </w:pPr>
      <w:r>
        <w:rPr>
          <w:rFonts w:asciiTheme="minorHAnsi" w:hAnsiTheme="minorHAnsi" w:cs="Book Antiqua"/>
          <w:bCs/>
          <w:sz w:val="22"/>
          <w:szCs w:val="22"/>
        </w:rPr>
        <w:t xml:space="preserve">Si è reso, pertanto, imprescindibile continuare le attività di attuazione dei piani di alienazione in corso costituenti fonti di entrate per l’Amministrazione Comunale ed è sorta la necessità di effettuare una ricognizione complessiva dei beni immobili dell’Ente già inseriti nei diversi Piani di Alienazione approvati, anche al fine di una razionalizzazione della gestione delle attività connesse all’attuazione dei Piani medesimi. </w:t>
      </w:r>
    </w:p>
    <w:p w:rsidR="002B28D0" w:rsidRDefault="00CB11A9">
      <w:pPr>
        <w:pStyle w:val="Intestazione1"/>
        <w:jc w:val="both"/>
        <w:rPr>
          <w:rFonts w:asciiTheme="minorHAnsi" w:hAnsiTheme="minorHAnsi" w:cs="Book Antiqua"/>
          <w:bCs/>
          <w:sz w:val="22"/>
          <w:szCs w:val="22"/>
        </w:rPr>
      </w:pPr>
      <w:r>
        <w:rPr>
          <w:rFonts w:asciiTheme="minorHAnsi" w:hAnsiTheme="minorHAnsi" w:cs="Book Antiqua"/>
          <w:bCs/>
          <w:sz w:val="22"/>
          <w:szCs w:val="22"/>
        </w:rPr>
        <w:t xml:space="preserve">Con </w:t>
      </w:r>
      <w:r>
        <w:rPr>
          <w:rFonts w:asciiTheme="minorHAnsi" w:hAnsiTheme="minorHAnsi" w:cs="Book Antiqua"/>
          <w:b/>
          <w:bCs/>
          <w:sz w:val="22"/>
          <w:szCs w:val="22"/>
        </w:rPr>
        <w:t>Deliberazione n. 98 del 13/10/2015</w:t>
      </w:r>
      <w:r>
        <w:rPr>
          <w:rFonts w:asciiTheme="minorHAnsi" w:hAnsiTheme="minorHAnsi" w:cs="Book Antiqua"/>
          <w:bCs/>
          <w:sz w:val="22"/>
          <w:szCs w:val="22"/>
        </w:rPr>
        <w:t>, infine, il Consiglio Comunale ha approvato una ricognizione degli immobili inseriti in tutti i piani di alienazione dell’Ente ed in corso di attuazione. Contestualmente si dava conto del relativo stato di attuazione, delle criticità riscontrate, ma anche dei punti di forza e delle azioni già intraprese e da intraprendere ancora per rilanciare l’attuazione dei piani stessi.</w:t>
      </w:r>
    </w:p>
    <w:p w:rsidR="002B28D0" w:rsidRDefault="00CB11A9">
      <w:pPr>
        <w:pStyle w:val="Intestazione1"/>
        <w:jc w:val="both"/>
        <w:rPr>
          <w:rFonts w:asciiTheme="minorHAnsi" w:hAnsiTheme="minorHAnsi" w:cs="Book Antiqua"/>
          <w:bCs/>
          <w:sz w:val="22"/>
          <w:szCs w:val="22"/>
        </w:rPr>
      </w:pPr>
      <w:r>
        <w:rPr>
          <w:rFonts w:asciiTheme="minorHAnsi" w:hAnsiTheme="minorHAnsi" w:cs="Book Antiqua"/>
          <w:bCs/>
          <w:sz w:val="22"/>
          <w:szCs w:val="22"/>
        </w:rPr>
        <w:t xml:space="preserve">Si definiva, di conseguenza, il cronoprogramma di attuazione dei piani medesimi, avente, tuttavia, una connotazione necessariamente dinamica e variabile, non essendo prevedibile con certezza la risposta del mercato e l’efficacia delle azioni propulsive che pure si è inteso mettere in campo. </w:t>
      </w:r>
    </w:p>
    <w:p w:rsidR="002B28D0" w:rsidRDefault="00CB11A9">
      <w:pPr>
        <w:pStyle w:val="Intestazione1"/>
        <w:jc w:val="both"/>
        <w:rPr>
          <w:rFonts w:asciiTheme="minorHAnsi" w:hAnsiTheme="minorHAnsi" w:cs="Book Antiqua"/>
          <w:bCs/>
          <w:sz w:val="22"/>
          <w:szCs w:val="22"/>
        </w:rPr>
      </w:pPr>
      <w:r>
        <w:rPr>
          <w:rFonts w:asciiTheme="minorHAnsi" w:hAnsiTheme="minorHAnsi" w:cs="Book Antiqua"/>
          <w:bCs/>
          <w:sz w:val="22"/>
          <w:szCs w:val="22"/>
        </w:rPr>
        <w:t xml:space="preserve">Si stabiliva, infine, che i proventi della vendita dei beni inseriti nei piani di alienazione del patrimonio immobiliare già approvati ed in corso di attuazione e di cui alla ricognizione effettuata con, non sarebbero potuti essere utilizzati dall’amministrazione ordinaria né essere iscritti in Bilancio quale fonte di finanziamento dello stesso Bilancio e che le somme sarebbero state accantonate per essere trasferite all’Organo Straordinario di Liquidazione </w:t>
      </w:r>
      <w:r>
        <w:rPr>
          <w:rFonts w:asciiTheme="minorHAnsi" w:hAnsiTheme="minorHAnsi" w:cs="Book Antiqua"/>
          <w:b/>
          <w:bCs/>
          <w:sz w:val="22"/>
          <w:szCs w:val="22"/>
        </w:rPr>
        <w:t>per il finanziamento della massa attiva occorrente per il ripiano di tutte le passività pregresse inserite nel piano di rilevazione</w:t>
      </w:r>
      <w:r>
        <w:rPr>
          <w:rFonts w:asciiTheme="minorHAnsi" w:hAnsiTheme="minorHAnsi" w:cs="Book Antiqua"/>
          <w:bCs/>
          <w:sz w:val="22"/>
          <w:szCs w:val="22"/>
        </w:rPr>
        <w:t>.</w:t>
      </w:r>
    </w:p>
    <w:p w:rsidR="002B28D0" w:rsidRDefault="00CB11A9">
      <w:pPr>
        <w:pStyle w:val="Intestazione1"/>
        <w:jc w:val="both"/>
        <w:rPr>
          <w:rFonts w:asciiTheme="minorHAnsi" w:hAnsiTheme="minorHAnsi" w:cs="Book Antiqua"/>
          <w:bCs/>
          <w:sz w:val="22"/>
          <w:szCs w:val="22"/>
        </w:rPr>
      </w:pPr>
      <w:r>
        <w:rPr>
          <w:rFonts w:asciiTheme="minorHAnsi" w:hAnsiTheme="minorHAnsi"/>
          <w:sz w:val="22"/>
          <w:szCs w:val="22"/>
        </w:rPr>
        <w:t>L</w:t>
      </w:r>
      <w:r>
        <w:rPr>
          <w:rFonts w:asciiTheme="minorHAnsi" w:hAnsiTheme="minorHAnsi" w:cs="Book Antiqua"/>
          <w:bCs/>
          <w:sz w:val="22"/>
          <w:szCs w:val="22"/>
        </w:rPr>
        <w:t xml:space="preserve">a deliberazione veniva presentata, insieme all’ipotesi di bilancio di previsione stabilmente riequilibrato 2014-2017 alla Commissione per la stabilità finanziaria degli enti locali presso il Ministero dell’Interno per l’approvazione ai sensi degli artt. 259 e 261 del TUEL. </w:t>
      </w:r>
    </w:p>
    <w:p w:rsidR="002B28D0" w:rsidRDefault="002B28D0">
      <w:pPr>
        <w:pStyle w:val="Intestazione1"/>
        <w:jc w:val="both"/>
        <w:rPr>
          <w:rFonts w:asciiTheme="minorHAnsi" w:hAnsiTheme="minorHAnsi" w:cs="Book Antiqua"/>
          <w:bCs/>
          <w:sz w:val="22"/>
          <w:szCs w:val="22"/>
        </w:rPr>
      </w:pPr>
    </w:p>
    <w:p w:rsidR="002B28D0" w:rsidRDefault="00CB11A9">
      <w:pPr>
        <w:pStyle w:val="Intestazione1"/>
        <w:jc w:val="both"/>
        <w:rPr>
          <w:rFonts w:asciiTheme="minorHAnsi" w:hAnsiTheme="minorHAnsi"/>
          <w:sz w:val="22"/>
          <w:szCs w:val="22"/>
        </w:rPr>
      </w:pPr>
      <w:r>
        <w:rPr>
          <w:rFonts w:asciiTheme="minorHAnsi" w:hAnsiTheme="minorHAnsi"/>
          <w:sz w:val="22"/>
          <w:szCs w:val="22"/>
        </w:rPr>
        <w:t>La programmazione degli Enti locali si attua anche nel rispetto dei principi contabili generali contenuti nell’allegato A/1 del D.Lgs. 23 giugno 2011, n. 118 e ss.mm. ed ii. Tra gli strumenti di programmazione si ricorda il Documento Unico di Programmazione (DUP), che permette l’attività di guida strategica ed operativa degli enti stessi e l’eventuale nota di aggiornamento del DUP, da presentare al Consiglio Comunale;</w:t>
      </w:r>
    </w:p>
    <w:p w:rsidR="002B28D0" w:rsidRDefault="00CB11A9">
      <w:pPr>
        <w:pStyle w:val="Intestazione1"/>
        <w:jc w:val="both"/>
        <w:rPr>
          <w:rFonts w:asciiTheme="minorHAnsi" w:hAnsiTheme="minorHAnsi"/>
          <w:sz w:val="22"/>
          <w:szCs w:val="22"/>
        </w:rPr>
      </w:pPr>
      <w:r>
        <w:rPr>
          <w:rFonts w:asciiTheme="minorHAnsi" w:hAnsiTheme="minorHAnsi"/>
          <w:sz w:val="22"/>
          <w:szCs w:val="22"/>
        </w:rPr>
        <w:t xml:space="preserve">L’Allegato 4/1 al D.Lgs 118/2011 </w:t>
      </w:r>
      <w:r>
        <w:rPr>
          <w:rFonts w:asciiTheme="minorHAnsi" w:hAnsiTheme="minorHAnsi"/>
          <w:i/>
          <w:sz w:val="22"/>
          <w:szCs w:val="22"/>
        </w:rPr>
        <w:t>“Principio contabile applicato concernente la programmazione di bilancio”</w:t>
      </w:r>
      <w:r>
        <w:rPr>
          <w:rFonts w:asciiTheme="minorHAnsi" w:hAnsiTheme="minorHAnsi"/>
          <w:sz w:val="22"/>
          <w:szCs w:val="22"/>
        </w:rPr>
        <w:t xml:space="preserve"> prevede </w:t>
      </w:r>
      <w:r>
        <w:rPr>
          <w:rFonts w:asciiTheme="minorHAnsi" w:hAnsiTheme="minorHAnsi"/>
          <w:i/>
          <w:sz w:val="22"/>
          <w:szCs w:val="22"/>
        </w:rPr>
        <w:t>“Al fine di procedere al riordino, gestione e valorizzazione del proprio patrimonio immobiliare l’ente, con apposita delibera dell’organo di governo individua, redigendo apposito elenco, i singoli immobili di proprietà dell’ente. Tra questi devono essere individuati quelli non strumentali all’esercizio delle proprie funzioni istituzionali e quelli suscettibili di valorizzazione ovvero di dismissione. Sulla base delle informazioni contenute nell’elenco deve essere predisposto il “Piano delle alienazioni e valorizzazioni patrimoniali” quale parte integrante del DUP</w:t>
      </w:r>
      <w:r>
        <w:rPr>
          <w:rFonts w:asciiTheme="minorHAnsi" w:hAnsiTheme="minorHAnsi"/>
          <w:sz w:val="22"/>
          <w:szCs w:val="22"/>
        </w:rPr>
        <w:t>”.</w:t>
      </w:r>
    </w:p>
    <w:p w:rsidR="002B28D0" w:rsidRDefault="00CB11A9">
      <w:pPr>
        <w:pStyle w:val="Intestazione1"/>
        <w:jc w:val="both"/>
        <w:rPr>
          <w:rFonts w:asciiTheme="minorHAnsi" w:hAnsiTheme="minorHAnsi"/>
          <w:sz w:val="22"/>
          <w:szCs w:val="22"/>
        </w:rPr>
      </w:pPr>
      <w:r>
        <w:rPr>
          <w:rFonts w:asciiTheme="minorHAnsi" w:hAnsiTheme="minorHAnsi"/>
          <w:sz w:val="22"/>
          <w:szCs w:val="22"/>
        </w:rPr>
        <w:t>Il PdAV, dunque, è parte integrante del DUP, così come anche il Piano triennale ed elenco annuale delle opere pubbliche (art. 21 commi 1 e segg. D.lgs 50/2016) e la deliberazione di fabbisogno di personale (art. 91 Tuel);</w:t>
      </w:r>
    </w:p>
    <w:p w:rsidR="002B28D0" w:rsidRDefault="002B28D0">
      <w:pPr>
        <w:pStyle w:val="Corpodeltesto2"/>
        <w:spacing w:after="0" w:line="240" w:lineRule="auto"/>
        <w:jc w:val="both"/>
        <w:rPr>
          <w:rFonts w:asciiTheme="minorHAnsi" w:hAnsiTheme="minorHAnsi"/>
          <w:sz w:val="22"/>
          <w:szCs w:val="22"/>
        </w:rPr>
      </w:pPr>
    </w:p>
    <w:p w:rsidR="002B28D0" w:rsidRDefault="002B28D0">
      <w:pPr>
        <w:pStyle w:val="Intestazione1"/>
        <w:jc w:val="both"/>
        <w:rPr>
          <w:rFonts w:asciiTheme="minorHAnsi" w:hAnsiTheme="minorHAnsi"/>
          <w:sz w:val="22"/>
          <w:szCs w:val="22"/>
        </w:rPr>
      </w:pPr>
    </w:p>
    <w:p w:rsidR="002B28D0" w:rsidRDefault="00CB11A9">
      <w:pPr>
        <w:pStyle w:val="Intestazione1"/>
        <w:jc w:val="both"/>
        <w:rPr>
          <w:rFonts w:asciiTheme="minorHAnsi" w:hAnsiTheme="minorHAnsi"/>
          <w:sz w:val="22"/>
          <w:szCs w:val="22"/>
        </w:rPr>
      </w:pPr>
      <w:r>
        <w:rPr>
          <w:rFonts w:ascii="Cambria" w:hAnsi="Cambria"/>
          <w:sz w:val="22"/>
          <w:szCs w:val="22"/>
        </w:rPr>
        <w:t xml:space="preserve">Gli elenchi ed i documenti di cui alla ricognizione approvata con Deliberazione C.C. n. 98/2015 costituiscono nel complesso il Piano delle Alienazioni e Valorizzazioni Immobiliari (PdAV) che è stato aggiornato e recepito nel DUP (Documento Unico di Programmazione) per il triennio 2016/2018 con Deliberazione C.C. n. 45 del 09/06/2016 e per il triennio 2017/2019 con Deliberazione C.C. n. 34 del 30/03/2017, confermandone la destinazione dei proventi. </w:t>
      </w:r>
    </w:p>
    <w:p w:rsidR="002B28D0" w:rsidRDefault="00CB11A9">
      <w:pPr>
        <w:pStyle w:val="Intestazione1"/>
        <w:jc w:val="both"/>
        <w:rPr>
          <w:rFonts w:asciiTheme="minorHAnsi" w:hAnsiTheme="minorHAnsi"/>
          <w:sz w:val="22"/>
          <w:szCs w:val="22"/>
        </w:rPr>
      </w:pPr>
      <w:r>
        <w:rPr>
          <w:rFonts w:ascii="Cambria" w:hAnsi="Cambria"/>
          <w:sz w:val="22"/>
          <w:szCs w:val="22"/>
        </w:rPr>
        <w:lastRenderedPageBreak/>
        <w:t>Per procedere nell’attuazione dei Piani avviati, con la redazione del presente documento, gli elenchi ed i documenti costituenti il Piano delle Alienazioni e Valorizzazioni Immobiliari vengono ulteriormente aggiornati per la triennalità 2018/2020, ai fini della redazione del Documento Unico di Programmazione di cui al Bilancio di Previsione per la stessa triennalità.</w:t>
      </w:r>
    </w:p>
    <w:p w:rsidR="002B28D0" w:rsidRDefault="00CB11A9">
      <w:pPr>
        <w:pStyle w:val="Intestazione1"/>
        <w:jc w:val="both"/>
      </w:pPr>
      <w:r>
        <w:rPr>
          <w:rFonts w:asciiTheme="minorHAnsi" w:hAnsiTheme="minorHAnsi"/>
          <w:sz w:val="22"/>
          <w:szCs w:val="22"/>
        </w:rPr>
        <w:t xml:space="preserve">Si riportano, di seguito gli elenchi degli immobili in alienazione, suddivisi nei Piani già approvati,, aggiornati in base alle variazioni intervenute,. </w:t>
      </w:r>
    </w:p>
    <w:p w:rsidR="002B28D0" w:rsidRDefault="00CB11A9">
      <w:pPr>
        <w:pStyle w:val="Intestazione1"/>
        <w:jc w:val="both"/>
      </w:pPr>
      <w:r>
        <w:rPr>
          <w:rFonts w:asciiTheme="minorHAnsi" w:hAnsiTheme="minorHAnsi"/>
          <w:sz w:val="22"/>
          <w:szCs w:val="22"/>
        </w:rPr>
        <w:t xml:space="preserve">In particolare si distingue fra Immobili le cui modalità di vendita sono riferite al </w:t>
      </w:r>
      <w:r>
        <w:rPr>
          <w:rFonts w:asciiTheme="minorHAnsi" w:hAnsiTheme="minorHAnsi"/>
          <w:i/>
          <w:sz w:val="22"/>
          <w:szCs w:val="22"/>
        </w:rPr>
        <w:t>Regolamento Speciale per la Vendita dei Bani Immobili approvato il 03/12/2001 dalla Commissione Straordinaria di Liquidazione nominata con D.P.R. 07/06/1995, in relazione al Programma Straordinario di Dismissione</w:t>
      </w:r>
      <w:r>
        <w:rPr>
          <w:rFonts w:asciiTheme="minorHAnsi" w:hAnsiTheme="minorHAnsi"/>
          <w:sz w:val="22"/>
          <w:szCs w:val="22"/>
        </w:rPr>
        <w:t xml:space="preserve">., sulla base delle Direttive di cui alla Determinazione Dirigenziale n, 147 del 12/10/2016 (uso abitativo - alloggi E,R.P.  e relative pertinenze) ed immobili con modalità di alienazione riferite al </w:t>
      </w:r>
      <w:r>
        <w:rPr>
          <w:rFonts w:asciiTheme="minorHAnsi" w:hAnsiTheme="minorHAnsi"/>
          <w:i/>
          <w:sz w:val="22"/>
          <w:szCs w:val="22"/>
        </w:rPr>
        <w:t>“Regolamento per la vendita e l’uso da parte di terzi dei beni immobili rientranti nella disponibilità dell’Amministrazione Comunale approvato con Deliberazione C.C: n. 144 del 05/12/2018”.</w:t>
      </w:r>
    </w:p>
    <w:p w:rsidR="002B28D0" w:rsidRDefault="00CB11A9">
      <w:pPr>
        <w:pStyle w:val="Intestazione1"/>
        <w:jc w:val="both"/>
        <w:rPr>
          <w:b/>
          <w:bCs/>
        </w:rPr>
      </w:pPr>
      <w:r>
        <w:rPr>
          <w:rFonts w:asciiTheme="minorHAnsi" w:hAnsiTheme="minorHAnsi"/>
          <w:b/>
          <w:bCs/>
          <w:sz w:val="22"/>
          <w:szCs w:val="22"/>
        </w:rPr>
        <w:t xml:space="preserve">Si confermano, nel complesso, per i piani e per tutti gli immobili inseriti nella ricognizione, i contenuti e le linee di azione descritte nei documenti già approvati in precedenza. </w:t>
      </w:r>
    </w:p>
    <w:p w:rsidR="002B28D0" w:rsidRDefault="00CB11A9">
      <w:pPr>
        <w:pStyle w:val="Intestazione1"/>
        <w:jc w:val="both"/>
      </w:pPr>
      <w:r>
        <w:rPr>
          <w:rFonts w:asciiTheme="minorHAnsi" w:hAnsiTheme="minorHAnsi" w:cs="Book Antiqua"/>
          <w:bCs/>
          <w:sz w:val="22"/>
          <w:szCs w:val="22"/>
        </w:rPr>
        <w:t xml:space="preserve">Si precisa, ancora una volta, che i valori definitivi degli importi saranno definiti solo a seguito della conclusione delle operazioni di vendita e che al cronoprogramma di attuazione occorre riconoscere una connotazione necessariamente dinamica e variabile, non essendo prevedibile con certezza la risposta del mercato e l’efficacia delle azioni propulsive che pure si metteranno in campo. </w:t>
      </w:r>
    </w:p>
    <w:p w:rsidR="002B28D0" w:rsidRDefault="00CB11A9">
      <w:pPr>
        <w:pStyle w:val="Intestazione1"/>
        <w:jc w:val="both"/>
      </w:pPr>
      <w:r>
        <w:rPr>
          <w:rFonts w:ascii="Cambria" w:hAnsi="Cambria" w:cs="Book Antiqua"/>
          <w:bCs/>
          <w:sz w:val="22"/>
          <w:szCs w:val="22"/>
        </w:rPr>
        <w:t xml:space="preserve">Si ribadisce, infine, che in conseguenza del dissesto finanziario, i proventi della vendita dei beni inseriti nei piani di alienazione del patrimonio immobiliare sono destinati al finanziamento della massa attiva occorrente per il ripiano delle passività pregresse inserite nel piano di rilevazione. </w:t>
      </w:r>
    </w:p>
    <w:p w:rsidR="002B28D0" w:rsidRDefault="002B28D0">
      <w:pPr>
        <w:pStyle w:val="Intestazione1"/>
        <w:jc w:val="both"/>
        <w:rPr>
          <w:rFonts w:asciiTheme="minorHAnsi" w:hAnsiTheme="minorHAnsi"/>
          <w:sz w:val="24"/>
          <w:szCs w:val="24"/>
        </w:rPr>
      </w:pPr>
    </w:p>
    <w:p w:rsidR="002B28D0" w:rsidRDefault="00CB11A9">
      <w:pPr>
        <w:pStyle w:val="Corpodeltesto"/>
        <w:spacing w:after="240"/>
        <w:jc w:val="both"/>
      </w:pPr>
      <w:r>
        <w:rPr>
          <w:rFonts w:ascii="Calibri" w:hAnsi="Calibri"/>
          <w:i/>
          <w:color w:val="000000"/>
          <w:sz w:val="22"/>
          <w:szCs w:val="22"/>
        </w:rPr>
        <w:t>ALLEGATO (TABELLE in formato pdf)</w:t>
      </w:r>
    </w:p>
    <w:p w:rsidR="002B28D0" w:rsidRDefault="00CB11A9">
      <w:pPr>
        <w:pStyle w:val="Intestazione1"/>
        <w:spacing w:line="200" w:lineRule="atLeast"/>
        <w:rPr>
          <w:rFonts w:ascii="Calibri" w:hAnsi="Calibri" w:cs="Book Antiqua"/>
          <w:b/>
          <w:i/>
          <w:iCs/>
          <w:szCs w:val="28"/>
        </w:rPr>
      </w:pPr>
      <w:r>
        <w:rPr>
          <w:rFonts w:ascii="Calibri" w:hAnsi="Calibri" w:cs="Book Antiqua"/>
          <w:b/>
          <w:i/>
          <w:iCs/>
          <w:szCs w:val="28"/>
        </w:rPr>
        <w:t xml:space="preserve">PIANI DI VENDITA in corso di attuazione </w:t>
      </w:r>
    </w:p>
    <w:p w:rsidR="002B28D0" w:rsidRDefault="00CB11A9">
      <w:pPr>
        <w:pStyle w:val="Intestazione1"/>
        <w:spacing w:line="200" w:lineRule="atLeast"/>
        <w:rPr>
          <w:rFonts w:ascii="Calibri" w:hAnsi="Calibri" w:cs="Book Antiqua"/>
          <w:b/>
          <w:i/>
          <w:iCs/>
          <w:szCs w:val="28"/>
        </w:rPr>
      </w:pPr>
      <w:r>
        <w:rPr>
          <w:rFonts w:ascii="Calibri" w:hAnsi="Calibri" w:cs="Book Antiqua"/>
          <w:b/>
          <w:i/>
          <w:iCs/>
          <w:szCs w:val="28"/>
        </w:rPr>
        <w:t>CON MODALITA' DI ALIENAZIONE RIFERITE AL REGOLAMENTO SPECIALE PER LA VENDITA DEI BENI IMMOBILI APPROVATO IL 3 DICEMBRE 2001 DALLA COMMISSIONE STRAORDINARIA DI LIQUIDAZIONE nominata con D.P.R. 07 GIUGNO 1995 in relazione al PROGRAMMA STRAORDINARIO DI DISMISSIONE</w:t>
      </w:r>
    </w:p>
    <w:p w:rsidR="002B28D0" w:rsidRDefault="002B28D0">
      <w:pPr>
        <w:pStyle w:val="Intestazione1"/>
        <w:spacing w:line="200" w:lineRule="atLeast"/>
        <w:rPr>
          <w:rFonts w:ascii="Calibri" w:hAnsi="Calibri" w:cs="Book Antiqua"/>
          <w:b/>
          <w:i/>
          <w:iCs/>
          <w:szCs w:val="28"/>
        </w:rPr>
      </w:pPr>
    </w:p>
    <w:p w:rsidR="002B28D0" w:rsidRDefault="00CB11A9">
      <w:pPr>
        <w:pStyle w:val="Intestazione1"/>
        <w:spacing w:line="200" w:lineRule="atLeast"/>
        <w:jc w:val="left"/>
        <w:rPr>
          <w:rFonts w:ascii="Calibri" w:hAnsi="Calibri" w:cs="Book Antiqua"/>
          <w:i/>
          <w:iCs/>
          <w:szCs w:val="28"/>
        </w:rPr>
      </w:pPr>
      <w:r>
        <w:rPr>
          <w:rFonts w:ascii="Calibri" w:hAnsi="Calibri" w:cs="Book Antiqua"/>
          <w:i/>
          <w:iCs/>
          <w:szCs w:val="28"/>
        </w:rPr>
        <w:t xml:space="preserve">- IMMOBILI AD USO ABITATIVO (ALLOGGI E.R.P.) di cui al </w:t>
      </w:r>
    </w:p>
    <w:p w:rsidR="002B28D0" w:rsidRDefault="00CB11A9">
      <w:pPr>
        <w:pStyle w:val="Intestazione1"/>
        <w:spacing w:line="200" w:lineRule="atLeast"/>
        <w:jc w:val="left"/>
        <w:rPr>
          <w:rFonts w:ascii="Calibri" w:hAnsi="Calibri" w:cs="Book Antiqua"/>
          <w:i/>
          <w:iCs/>
          <w:szCs w:val="28"/>
        </w:rPr>
      </w:pPr>
      <w:r>
        <w:rPr>
          <w:rFonts w:ascii="Calibri" w:hAnsi="Calibri" w:cs="Book Antiqua"/>
          <w:i/>
          <w:iCs/>
          <w:szCs w:val="28"/>
        </w:rPr>
        <w:t xml:space="preserve">PROGRAMMA STRAORDINARIO DI DISMISSIONE DEGLI IMMOBILI COMUNALI </w:t>
      </w:r>
    </w:p>
    <w:p w:rsidR="002B28D0" w:rsidRDefault="00CB11A9">
      <w:pPr>
        <w:pStyle w:val="Intestazione1"/>
        <w:spacing w:line="200" w:lineRule="atLeast"/>
        <w:jc w:val="left"/>
        <w:rPr>
          <w:rFonts w:ascii="Calibri" w:hAnsi="Calibri" w:cs="Book Antiqua"/>
          <w:bCs/>
          <w:i/>
          <w:sz w:val="20"/>
          <w:szCs w:val="22"/>
        </w:rPr>
      </w:pPr>
      <w:r>
        <w:rPr>
          <w:rFonts w:ascii="Calibri" w:hAnsi="Calibri" w:cs="Book Antiqua"/>
          <w:bCs/>
          <w:i/>
          <w:sz w:val="20"/>
          <w:szCs w:val="22"/>
        </w:rPr>
        <w:t xml:space="preserve">nel quale sono confluiti, previo parere del Ministero dell’Interno - Dipartimento Affari interni e Territoriali - Direzione Centrale per la Finanza Locale, espresso con nota n. 1421 del 28/04/2006, anche gli alloggi di Edilizia Residenziale Pubblica (E.R.P.) gestiti dall’A.T.E.R. trasferiti </w:t>
      </w:r>
      <w:r>
        <w:rPr>
          <w:rFonts w:ascii="Calibri" w:hAnsi="Calibri" w:cs="Book Antiqua"/>
          <w:bCs/>
          <w:i/>
          <w:iCs/>
          <w:sz w:val="20"/>
          <w:szCs w:val="22"/>
        </w:rPr>
        <w:t>ope legis</w:t>
      </w:r>
      <w:r>
        <w:rPr>
          <w:rFonts w:ascii="Calibri" w:hAnsi="Calibri" w:cs="Book Antiqua"/>
          <w:bCs/>
          <w:i/>
          <w:sz w:val="20"/>
          <w:szCs w:val="22"/>
        </w:rPr>
        <w:t xml:space="preserve"> dall’Agenzia del Demanio con Verbali del 26 settembre 2005 e  del 14 novembre 2006, in attuazione della Legge n. 311/2004.</w:t>
      </w:r>
    </w:p>
    <w:p w:rsidR="002B28D0" w:rsidRDefault="002B28D0">
      <w:pPr>
        <w:rPr>
          <w:rFonts w:ascii="Calibri" w:hAnsi="Calibri"/>
          <w:i/>
          <w:sz w:val="18"/>
          <w:szCs w:val="22"/>
        </w:rPr>
      </w:pPr>
    </w:p>
    <w:p w:rsidR="002B28D0" w:rsidRDefault="00CB11A9">
      <w:pPr>
        <w:pStyle w:val="Intestazione1"/>
        <w:spacing w:line="200" w:lineRule="atLeast"/>
        <w:jc w:val="left"/>
        <w:rPr>
          <w:rFonts w:ascii="Calibri" w:hAnsi="Calibri" w:cs="Book Antiqua"/>
          <w:i/>
          <w:iCs/>
          <w:szCs w:val="28"/>
        </w:rPr>
      </w:pPr>
      <w:r>
        <w:rPr>
          <w:rFonts w:ascii="Calibri" w:hAnsi="Calibri" w:cs="Book Antiqua"/>
          <w:i/>
          <w:iCs/>
          <w:szCs w:val="28"/>
        </w:rPr>
        <w:t>- IMMOBILI AD USO NON ABITATIVO di cui al</w:t>
      </w:r>
    </w:p>
    <w:p w:rsidR="002B28D0" w:rsidRDefault="00CB11A9">
      <w:pPr>
        <w:pStyle w:val="Intestazione1"/>
        <w:spacing w:line="200" w:lineRule="atLeast"/>
        <w:jc w:val="left"/>
        <w:rPr>
          <w:rFonts w:ascii="Calibri" w:hAnsi="Calibri" w:cs="Book Antiqua"/>
          <w:i/>
          <w:iCs/>
          <w:szCs w:val="28"/>
        </w:rPr>
      </w:pPr>
      <w:r>
        <w:rPr>
          <w:rFonts w:ascii="Calibri" w:hAnsi="Calibri" w:cs="Book Antiqua"/>
          <w:i/>
          <w:iCs/>
          <w:szCs w:val="28"/>
        </w:rPr>
        <w:t xml:space="preserve">PROGRAMMA STRAORDINARIO DI DISMISSIONE DEGLI IMMOBILI COMUNALI </w:t>
      </w:r>
    </w:p>
    <w:p w:rsidR="002B28D0" w:rsidRDefault="002B28D0">
      <w:pPr>
        <w:jc w:val="both"/>
        <w:rPr>
          <w:rFonts w:asciiTheme="minorHAnsi" w:hAnsiTheme="minorHAnsi" w:cs="Arial"/>
          <w:bCs/>
          <w:sz w:val="22"/>
          <w:szCs w:val="22"/>
        </w:rPr>
      </w:pPr>
    </w:p>
    <w:p w:rsidR="002B28D0" w:rsidRDefault="00CB11A9">
      <w:pPr>
        <w:pStyle w:val="Intestazione1"/>
        <w:spacing w:line="200" w:lineRule="atLeast"/>
        <w:jc w:val="left"/>
        <w:rPr>
          <w:rFonts w:ascii="Calibri" w:hAnsi="Calibri" w:cs="Book Antiqua"/>
          <w:i/>
          <w:iCs/>
          <w:szCs w:val="28"/>
        </w:rPr>
      </w:pPr>
      <w:r>
        <w:rPr>
          <w:rFonts w:ascii="Calibri" w:hAnsi="Calibri" w:cs="Book Antiqua"/>
          <w:i/>
          <w:iCs/>
          <w:szCs w:val="28"/>
        </w:rPr>
        <w:t xml:space="preserve">- IMMOBILI AD USO ABITATIVO (ALLOGGI E.R.P.) TRASFERITI OPE LEGIS DAL DEMANIO DELLO STATO. LEGGE N. 214/2011 </w:t>
      </w:r>
    </w:p>
    <w:p w:rsidR="002B28D0" w:rsidRDefault="00CB11A9">
      <w:pPr>
        <w:pStyle w:val="Intestazione1"/>
        <w:jc w:val="both"/>
        <w:rPr>
          <w:rFonts w:ascii="Calibri" w:hAnsi="Calibri" w:cs="Book Antiqua"/>
          <w:bCs/>
          <w:i/>
          <w:sz w:val="20"/>
          <w:szCs w:val="22"/>
        </w:rPr>
      </w:pPr>
      <w:r>
        <w:rPr>
          <w:rFonts w:ascii="Calibri" w:hAnsi="Calibri" w:cs="Book Antiqua"/>
          <w:bCs/>
          <w:i/>
          <w:sz w:val="20"/>
          <w:szCs w:val="22"/>
        </w:rPr>
        <w:t>Immobili di Edilizia Residenziale Pubblica (E.R.P.) gestiti dall’A.T.E.R. e trasferiti ope legis in proprietà al Comune di Potenza dall’Agenzia del Demanio, con Verbali sottoscritti in data 4 luglio 2012 e 28 ottobre 2014, in attuazione della Legge n. 214/2011. Immobili sottoposti, previo parere del Ministero dell’Interno - Dipartimento Affari interni e Territoriali - Direzione Centrale per la Finanza Locale, Ufficio per il risanamento degli Enti Locali Dissestati, espresso con nota n. 0083734 del 23 settembre 2014, alla disciplina del Regolamento Speciale per la Vendita dei beni immobili, approvato il 3 dicembre 2001 dalla Commissione Straordinaria di Liquidazione, in deroga alla Legge nazionale n. 560/1993.</w:t>
      </w:r>
    </w:p>
    <w:p w:rsidR="002B28D0" w:rsidRDefault="00CB11A9">
      <w:pPr>
        <w:pStyle w:val="Intestazione1"/>
        <w:spacing w:line="200" w:lineRule="atLeast"/>
        <w:rPr>
          <w:rFonts w:ascii="Cambria" w:hAnsi="Cambria" w:cs="Arial"/>
          <w:i/>
          <w:iCs/>
          <w:szCs w:val="28"/>
          <w:lang w:eastAsia="it-IT"/>
        </w:rPr>
      </w:pPr>
      <w:r>
        <w:rPr>
          <w:rFonts w:ascii="Calibri" w:hAnsi="Calibri" w:cs="Book Antiqua"/>
          <w:b/>
          <w:i/>
          <w:iCs/>
          <w:szCs w:val="28"/>
        </w:rPr>
        <w:lastRenderedPageBreak/>
        <w:t xml:space="preserve">PIANO DI VENDITA in corso di attuazione CON MODALITA’ RIFERITE AL REGOLAMENTO PER LA VENDITA E L’USO DA PARTE DI TERZI DEI BENI IMMOBILI RIENTRANTI NELLA DISPONIBILITA’ DELL’AMMINISTRAZIONE COMUNALE </w:t>
      </w:r>
      <w:r>
        <w:rPr>
          <w:rFonts w:ascii="Cambria" w:hAnsi="Cambria" w:cs="Arial"/>
          <w:i/>
          <w:iCs/>
          <w:szCs w:val="28"/>
          <w:lang w:eastAsia="it-IT"/>
        </w:rPr>
        <w:t>approvato con deliberazione n. 144 del 05/12/2008.</w:t>
      </w:r>
    </w:p>
    <w:p w:rsidR="002B28D0" w:rsidRDefault="002B28D0">
      <w:pPr>
        <w:pStyle w:val="Intestazione1"/>
        <w:spacing w:line="200" w:lineRule="atLeast"/>
        <w:jc w:val="left"/>
        <w:rPr>
          <w:rFonts w:ascii="Calibri" w:hAnsi="Calibri" w:cs="Book Antiqua"/>
          <w:b/>
          <w:i/>
          <w:iCs/>
          <w:sz w:val="32"/>
          <w:szCs w:val="28"/>
        </w:rPr>
      </w:pPr>
    </w:p>
    <w:p w:rsidR="002B28D0" w:rsidRDefault="00CB11A9">
      <w:pPr>
        <w:pStyle w:val="Intestazione1"/>
        <w:spacing w:line="200" w:lineRule="atLeast"/>
        <w:jc w:val="left"/>
        <w:rPr>
          <w:rFonts w:ascii="Calibri" w:hAnsi="Calibri" w:cs="Book Antiqua"/>
          <w:i/>
          <w:iCs/>
          <w:szCs w:val="28"/>
        </w:rPr>
      </w:pPr>
      <w:r>
        <w:rPr>
          <w:rFonts w:ascii="Calibri" w:hAnsi="Calibri" w:cs="Book Antiqua"/>
          <w:i/>
          <w:iCs/>
          <w:szCs w:val="28"/>
        </w:rPr>
        <w:t xml:space="preserve">- IMMOBILI DEL PIANO DI ALIENAZIONE c.d. LEGGE N. 133/2008, ART. 58 </w:t>
      </w:r>
    </w:p>
    <w:p w:rsidR="002B28D0" w:rsidRDefault="002B28D0">
      <w:pPr>
        <w:jc w:val="both"/>
        <w:rPr>
          <w:rFonts w:ascii="Cambria" w:eastAsia="MS Minngs" w:hAnsi="Cambria"/>
          <w:sz w:val="22"/>
        </w:rPr>
      </w:pPr>
    </w:p>
    <w:p w:rsidR="002B28D0" w:rsidRDefault="002B28D0">
      <w:pPr>
        <w:pStyle w:val="Corpodeltesto21"/>
        <w:spacing w:before="0" w:after="120"/>
      </w:pPr>
    </w:p>
    <w:p w:rsidR="002B28D0" w:rsidRDefault="00CB11A9">
      <w:pPr>
        <w:pStyle w:val="Intestazione1"/>
        <w:spacing w:line="200" w:lineRule="atLeast"/>
        <w:rPr>
          <w:rFonts w:ascii="Calibri" w:hAnsi="Calibri" w:cs="Book Antiqua"/>
          <w:b/>
          <w:i/>
          <w:iCs/>
          <w:szCs w:val="28"/>
        </w:rPr>
      </w:pPr>
      <w:r>
        <w:rPr>
          <w:rFonts w:ascii="Calibri" w:hAnsi="Calibri" w:cs="Book Antiqua"/>
          <w:b/>
          <w:i/>
          <w:iCs/>
          <w:szCs w:val="28"/>
        </w:rPr>
        <w:t>CESSIONE ONEROSA DELLE AREE IN LOCALITA’ MACCHIA GIOCOLI E MURATE</w:t>
      </w:r>
    </w:p>
    <w:p w:rsidR="002B28D0" w:rsidRDefault="00CB11A9">
      <w:pPr>
        <w:pStyle w:val="Intestazione1"/>
        <w:spacing w:line="200" w:lineRule="atLeast"/>
        <w:rPr>
          <w:rFonts w:ascii="Cambria" w:hAnsi="Cambria" w:cs="Arial"/>
          <w:i/>
          <w:iCs/>
          <w:szCs w:val="28"/>
          <w:lang w:eastAsia="it-IT"/>
        </w:rPr>
      </w:pPr>
      <w:r>
        <w:rPr>
          <w:rFonts w:ascii="Cambria" w:hAnsi="Cambria" w:cs="Arial"/>
          <w:i/>
          <w:iCs/>
          <w:szCs w:val="28"/>
          <w:lang w:eastAsia="it-IT"/>
        </w:rPr>
        <w:t>con modalità definite con Delibera di Consiglio Comunale n. 121/2011 e Determinazione Dirigenziale n. 190/2014</w:t>
      </w:r>
    </w:p>
    <w:p w:rsidR="002B28D0" w:rsidRDefault="002B28D0">
      <w:pPr>
        <w:pStyle w:val="Corpodeltesto"/>
        <w:spacing w:after="0"/>
        <w:rPr>
          <w:rFonts w:asciiTheme="minorHAnsi" w:hAnsiTheme="minorHAnsi"/>
          <w:sz w:val="28"/>
          <w:szCs w:val="28"/>
        </w:rPr>
      </w:pPr>
    </w:p>
    <w:p w:rsidR="002B28D0" w:rsidRDefault="002B28D0">
      <w:pPr>
        <w:pStyle w:val="Intestazione1"/>
        <w:rPr>
          <w:rFonts w:asciiTheme="minorHAnsi" w:hAnsiTheme="minorHAnsi" w:cs="Book Antiqua"/>
          <w:b/>
          <w:i/>
          <w:iCs/>
          <w:szCs w:val="28"/>
        </w:rPr>
      </w:pPr>
    </w:p>
    <w:p w:rsidR="002B28D0" w:rsidRDefault="00CB11A9">
      <w:pPr>
        <w:pStyle w:val="Intestazione1"/>
        <w:spacing w:line="200" w:lineRule="atLeast"/>
        <w:rPr>
          <w:rFonts w:ascii="Calibri" w:hAnsi="Calibri" w:cs="Book Antiqua"/>
          <w:b/>
          <w:i/>
          <w:iCs/>
          <w:szCs w:val="28"/>
        </w:rPr>
      </w:pPr>
      <w:r>
        <w:rPr>
          <w:rFonts w:ascii="Calibri" w:hAnsi="Calibri" w:cs="Book Antiqua"/>
          <w:b/>
          <w:i/>
          <w:iCs/>
          <w:szCs w:val="28"/>
        </w:rPr>
        <w:t>ALIENAZIONE DEI DIRITTI EDIFICATORI ESPRESSI DA TERRENI DI PROPRIETA’ DELL’AMMINISTRAZIONE COMUNALE</w:t>
      </w:r>
      <w:r>
        <w:rPr>
          <w:rFonts w:ascii="Cambria" w:hAnsi="Cambria" w:cs="Arial"/>
          <w:i/>
          <w:iCs/>
          <w:szCs w:val="28"/>
          <w:lang w:eastAsia="it-IT"/>
        </w:rPr>
        <w:t xml:space="preserve"> (Deliberazione C.C. n° 21 del 8 aprile 2009)</w:t>
      </w:r>
    </w:p>
    <w:p w:rsidR="002B28D0" w:rsidRDefault="002B28D0">
      <w:pPr>
        <w:rPr>
          <w:rFonts w:asciiTheme="minorHAnsi" w:hAnsiTheme="minorHAnsi"/>
          <w:b/>
          <w:i/>
          <w:sz w:val="22"/>
          <w:szCs w:val="22"/>
        </w:rPr>
      </w:pPr>
    </w:p>
    <w:p w:rsidR="002B28D0" w:rsidRDefault="002B28D0">
      <w:pPr>
        <w:pStyle w:val="Corpodeltesto"/>
        <w:rPr>
          <w:rFonts w:eastAsiaTheme="minorEastAsia"/>
        </w:rPr>
      </w:pPr>
    </w:p>
    <w:p w:rsidR="002B28D0" w:rsidRDefault="00CB11A9">
      <w:pPr>
        <w:pStyle w:val="Intestazione1"/>
        <w:spacing w:line="200" w:lineRule="atLeast"/>
        <w:rPr>
          <w:rFonts w:ascii="Calibri" w:hAnsi="Calibri" w:cs="Book Antiqua"/>
          <w:b/>
          <w:i/>
          <w:iCs/>
          <w:szCs w:val="28"/>
        </w:rPr>
      </w:pPr>
      <w:r>
        <w:rPr>
          <w:rFonts w:ascii="Calibri" w:hAnsi="Calibri" w:cs="Book Antiqua"/>
          <w:b/>
          <w:i/>
          <w:iCs/>
          <w:szCs w:val="28"/>
        </w:rPr>
        <w:t xml:space="preserve">PIANO DI VENDITA di prossimo avvio </w:t>
      </w:r>
    </w:p>
    <w:p w:rsidR="002B28D0" w:rsidRDefault="00CB11A9">
      <w:pPr>
        <w:pStyle w:val="Intestazione1"/>
        <w:spacing w:line="200" w:lineRule="atLeast"/>
        <w:rPr>
          <w:rFonts w:ascii="Calibri" w:hAnsi="Calibri" w:cs="Book Antiqua"/>
          <w:b/>
          <w:i/>
          <w:iCs/>
          <w:szCs w:val="28"/>
        </w:rPr>
      </w:pPr>
      <w:r>
        <w:rPr>
          <w:rFonts w:ascii="Calibri" w:hAnsi="Calibri" w:cs="Book Antiqua"/>
          <w:b/>
          <w:i/>
          <w:iCs/>
          <w:szCs w:val="28"/>
        </w:rPr>
        <w:t>CON MODALITA' DI ALIENAZIONE RIFERITE AL REGOLAMENTO SPECIALE PER LA VENDITA DEI BENI IMMOBILI APPROVATO IL 3 DICEMBRE 2001 DALLA COMMISSIONE STRAORDINARIA DI LIQUIDAZIONE nominata con D.P.R. 07 GIUGNO 1995 in relazione al PROGRAMMA STRAORDINARIO DI DISMISSIONE</w:t>
      </w:r>
    </w:p>
    <w:p w:rsidR="002B28D0" w:rsidRDefault="002B28D0">
      <w:pPr>
        <w:pStyle w:val="Intestazione1"/>
        <w:spacing w:line="200" w:lineRule="atLeast"/>
        <w:rPr>
          <w:rFonts w:ascii="Calibri" w:hAnsi="Calibri" w:cs="Book Antiqua"/>
          <w:b/>
          <w:i/>
          <w:iCs/>
          <w:sz w:val="32"/>
          <w:szCs w:val="28"/>
        </w:rPr>
      </w:pPr>
    </w:p>
    <w:p w:rsidR="002B28D0" w:rsidRDefault="00CB11A9">
      <w:pPr>
        <w:pStyle w:val="Intestazione1"/>
        <w:spacing w:line="200" w:lineRule="atLeast"/>
        <w:jc w:val="left"/>
        <w:rPr>
          <w:rFonts w:ascii="Calibri" w:hAnsi="Calibri" w:cs="Book Antiqua"/>
          <w:i/>
          <w:iCs/>
          <w:szCs w:val="28"/>
        </w:rPr>
      </w:pPr>
      <w:r>
        <w:rPr>
          <w:rFonts w:ascii="Calibri" w:hAnsi="Calibri" w:cs="Book Antiqua"/>
          <w:i/>
          <w:iCs/>
          <w:szCs w:val="28"/>
        </w:rPr>
        <w:t>- IMMOBILI AD USO ABITATIVO (ALLOGGI E.R.P.) TRASFERITI OPE LEGIS DAL DEMANIO DELLO STATO AI SENSI DELLE LEGGI N. 311/2004 e N. 214/2011 (completamento primo trasferimento ope legis - Verbali del 3 febbraio 2016 e del 10 maggio 2016)</w:t>
      </w:r>
    </w:p>
    <w:p w:rsidR="002B28D0" w:rsidRDefault="00CB11A9">
      <w:pPr>
        <w:pStyle w:val="Intestazione1"/>
        <w:jc w:val="left"/>
        <w:rPr>
          <w:rFonts w:ascii="Calibri" w:hAnsi="Calibri" w:cs="Book Antiqua"/>
          <w:bCs/>
          <w:i/>
          <w:sz w:val="20"/>
          <w:szCs w:val="22"/>
        </w:rPr>
      </w:pPr>
      <w:r>
        <w:rPr>
          <w:rFonts w:ascii="Calibri" w:hAnsi="Calibri" w:cs="Book Antiqua"/>
          <w:bCs/>
          <w:i/>
          <w:sz w:val="20"/>
          <w:szCs w:val="22"/>
        </w:rPr>
        <w:t>Immobili di Edilizia Residenziale Pubblica (E.R.P.) gestiti dall’A.T.E.R. e trasferiti ope legis in proprietà al Comune di Potenza dall’Agenzia del Demanio, con Verbali sottoscritti in data 3 febbraio 2016 e 10 maggio 2016, in attuazione delle Leggi n. 311/20014 e n. 214/2011. Immobili sottoposti alla disciplina del Regolamento Speciale per la Vendita dei beni immobili, approvato il 3 dicembre 2001 dalla Commissione Straordinaria di Liquidazione, in deroga alla Legge nazionale n. 560/1993 (deliberazione Consiglio Comunale n. 10 del 09/02/2017</w:t>
      </w:r>
    </w:p>
    <w:p w:rsidR="002B28D0" w:rsidRDefault="002B28D0">
      <w:pPr>
        <w:jc w:val="both"/>
        <w:rPr>
          <w:rFonts w:ascii="Cambria" w:hAnsi="Cambria"/>
          <w:bCs/>
          <w:sz w:val="22"/>
          <w:szCs w:val="22"/>
          <w:highlight w:val="cyan"/>
        </w:rPr>
      </w:pPr>
    </w:p>
    <w:p w:rsidR="002B28D0" w:rsidRDefault="002B28D0">
      <w:pPr>
        <w:pStyle w:val="Corpodeltesto"/>
        <w:rPr>
          <w:rFonts w:eastAsiaTheme="minorEastAsia"/>
        </w:rPr>
      </w:pPr>
    </w:p>
    <w:p w:rsidR="002B28D0" w:rsidRDefault="002B28D0"/>
    <w:sectPr w:rsidR="002B28D0" w:rsidSect="002B28D0">
      <w:pgSz w:w="11906" w:h="16838"/>
      <w:pgMar w:top="1417" w:right="1134" w:bottom="1134" w:left="1134" w:header="0" w:footer="0" w:gutter="0"/>
      <w:cols w:space="720"/>
      <w:formProt w:val="0"/>
      <w:docGrid w:linePitch="360" w:charSpace="-6145"/>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Mangal">
    <w:panose1 w:val="00000400000000000000"/>
    <w:charset w:val="00"/>
    <w:family w:val="auto"/>
    <w:pitch w:val="variable"/>
    <w:sig w:usb0="00008003" w:usb1="00000000" w:usb2="00000000" w:usb3="00000000" w:csb0="00000001" w:csb1="00000000"/>
  </w:font>
  <w:font w:name="Lucida Sans Unicode">
    <w:panose1 w:val="020B0602030504020204"/>
    <w:charset w:val="00"/>
    <w:family w:val="swiss"/>
    <w:pitch w:val="variable"/>
    <w:sig w:usb0="80000AFF" w:usb1="0000396B" w:usb2="00000000" w:usb3="00000000" w:csb0="0000003F" w:csb1="00000000"/>
  </w:font>
  <w:font w:name="Calibri,Bold">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MS Minngs">
    <w:altName w:val="MS Mincho"/>
    <w:panose1 w:val="00000000000000000000"/>
    <w:charset w:val="80"/>
    <w:family w:val="roman"/>
    <w:notTrueType/>
    <w:pitch w:val="fixed"/>
    <w:sig w:usb0="00000000"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E96882"/>
    <w:multiLevelType w:val="multilevel"/>
    <w:tmpl w:val="10AC0496"/>
    <w:lvl w:ilvl="0">
      <w:start w:val="1"/>
      <w:numFmt w:val="bullet"/>
      <w:lvlText w:val="-"/>
      <w:lvlJc w:val="left"/>
      <w:pPr>
        <w:tabs>
          <w:tab w:val="num" w:pos="720"/>
        </w:tabs>
        <w:ind w:left="720" w:hanging="360"/>
      </w:pPr>
      <w:rPr>
        <w:rFonts w:ascii="Times New Roman" w:hAnsi="Times New Roman" w:cs="Times New Roman" w:hint="default"/>
        <w:b/>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nsid w:val="19731646"/>
    <w:multiLevelType w:val="multilevel"/>
    <w:tmpl w:val="68DA049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defaultTabStop w:val="708"/>
  <w:hyphenationZone w:val="283"/>
  <w:characterSpacingControl w:val="doNotCompress"/>
  <w:compat>
    <w:useFELayout/>
  </w:compat>
  <w:rsids>
    <w:rsidRoot w:val="002B28D0"/>
    <w:rsid w:val="002B28D0"/>
    <w:rsid w:val="003452DC"/>
    <w:rsid w:val="004E24BB"/>
    <w:rsid w:val="006E60A0"/>
    <w:rsid w:val="00C70C32"/>
    <w:rsid w:val="00CB11A9"/>
    <w:rsid w:val="00D93E1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qFormat="1"/>
    <w:lsdException w:name="Body Text 3"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C3055"/>
    <w:rPr>
      <w:rFonts w:ascii="Times New Roman" w:eastAsia="Times New Roman" w:hAnsi="Times New Roman" w:cs="Times New Roman"/>
      <w:color w:val="00000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orpodeltestoCarattere">
    <w:name w:val="Corpo del testo Carattere"/>
    <w:basedOn w:val="Carpredefinitoparagrafo"/>
    <w:link w:val="Corpodeltesto"/>
    <w:semiHidden/>
    <w:qFormat/>
    <w:rsid w:val="009C3055"/>
    <w:rPr>
      <w:rFonts w:ascii="Times New Roman" w:eastAsia="Times New Roman" w:hAnsi="Times New Roman" w:cs="Times New Roman"/>
      <w:sz w:val="20"/>
      <w:szCs w:val="20"/>
      <w:lang w:eastAsia="zh-CN"/>
    </w:rPr>
  </w:style>
  <w:style w:type="character" w:customStyle="1" w:styleId="Corpodeltesto2Carattere">
    <w:name w:val="Corpo del testo 2 Carattere"/>
    <w:basedOn w:val="Carpredefinitoparagrafo"/>
    <w:link w:val="Corpodeltesto2"/>
    <w:uiPriority w:val="99"/>
    <w:qFormat/>
    <w:rsid w:val="009C3055"/>
    <w:rPr>
      <w:rFonts w:ascii="Times New Roman" w:eastAsia="Times New Roman" w:hAnsi="Times New Roman" w:cs="Times New Roman"/>
    </w:rPr>
  </w:style>
  <w:style w:type="character" w:customStyle="1" w:styleId="Corpodeltesto3Carattere">
    <w:name w:val="Corpo del testo 3 Carattere"/>
    <w:basedOn w:val="Carpredefinitoparagrafo"/>
    <w:link w:val="Corpodeltesto3"/>
    <w:uiPriority w:val="99"/>
    <w:semiHidden/>
    <w:qFormat/>
    <w:rsid w:val="009C3055"/>
    <w:rPr>
      <w:rFonts w:ascii="Times New Roman" w:eastAsia="Times New Roman" w:hAnsi="Times New Roman" w:cs="Times New Roman"/>
      <w:sz w:val="16"/>
      <w:szCs w:val="16"/>
    </w:rPr>
  </w:style>
  <w:style w:type="character" w:customStyle="1" w:styleId="TitoloCarattere">
    <w:name w:val="Titolo Carattere"/>
    <w:basedOn w:val="Carpredefinitoparagrafo"/>
    <w:link w:val="Titolo"/>
    <w:qFormat/>
    <w:rsid w:val="009C3055"/>
    <w:rPr>
      <w:rFonts w:ascii="Times New Roman" w:eastAsia="Times New Roman" w:hAnsi="Times New Roman" w:cs="Times New Roman"/>
      <w:sz w:val="28"/>
      <w:szCs w:val="20"/>
    </w:rPr>
  </w:style>
  <w:style w:type="character" w:customStyle="1" w:styleId="TitoloCarattere1">
    <w:name w:val="Titolo Carattere1"/>
    <w:basedOn w:val="Carpredefinitoparagrafo"/>
    <w:uiPriority w:val="10"/>
    <w:qFormat/>
    <w:rsid w:val="009C3055"/>
    <w:rPr>
      <w:rFonts w:asciiTheme="majorHAnsi" w:eastAsiaTheme="majorEastAsia" w:hAnsiTheme="majorHAnsi" w:cstheme="majorBidi"/>
      <w:color w:val="17365D" w:themeColor="text2" w:themeShade="BF"/>
      <w:spacing w:val="5"/>
      <w:sz w:val="52"/>
      <w:szCs w:val="52"/>
    </w:rPr>
  </w:style>
  <w:style w:type="character" w:customStyle="1" w:styleId="CorpodeltestoCarattere1">
    <w:name w:val="Corpo del testo Carattere1"/>
    <w:basedOn w:val="Carpredefinitoparagrafo"/>
    <w:uiPriority w:val="99"/>
    <w:semiHidden/>
    <w:qFormat/>
    <w:rsid w:val="009C3055"/>
    <w:rPr>
      <w:rFonts w:ascii="Times New Roman" w:eastAsia="Times New Roman" w:hAnsi="Times New Roman" w:cs="Times New Roman"/>
      <w:color w:val="00000A"/>
    </w:rPr>
  </w:style>
  <w:style w:type="character" w:customStyle="1" w:styleId="Corpodeltesto2Carattere1">
    <w:name w:val="Corpo del testo 2 Carattere1"/>
    <w:basedOn w:val="Carpredefinitoparagrafo"/>
    <w:uiPriority w:val="99"/>
    <w:semiHidden/>
    <w:qFormat/>
    <w:rsid w:val="009C3055"/>
    <w:rPr>
      <w:rFonts w:ascii="Times New Roman" w:eastAsia="Times New Roman" w:hAnsi="Times New Roman" w:cs="Times New Roman"/>
      <w:color w:val="00000A"/>
    </w:rPr>
  </w:style>
  <w:style w:type="character" w:customStyle="1" w:styleId="Corpodeltesto3Carattere1">
    <w:name w:val="Corpo del testo 3 Carattere1"/>
    <w:basedOn w:val="Carpredefinitoparagrafo"/>
    <w:uiPriority w:val="99"/>
    <w:semiHidden/>
    <w:qFormat/>
    <w:rsid w:val="009C3055"/>
    <w:rPr>
      <w:rFonts w:ascii="Times New Roman" w:eastAsia="Times New Roman" w:hAnsi="Times New Roman" w:cs="Times New Roman"/>
      <w:color w:val="00000A"/>
      <w:sz w:val="16"/>
      <w:szCs w:val="16"/>
    </w:rPr>
  </w:style>
  <w:style w:type="character" w:customStyle="1" w:styleId="ListLabel1">
    <w:name w:val="ListLabel 1"/>
    <w:qFormat/>
    <w:rsid w:val="002B28D0"/>
    <w:rPr>
      <w:rFonts w:cs="Times New Roman"/>
      <w:b/>
      <w:sz w:val="22"/>
    </w:rPr>
  </w:style>
  <w:style w:type="character" w:customStyle="1" w:styleId="ListLabel2">
    <w:name w:val="ListLabel 2"/>
    <w:qFormat/>
    <w:rsid w:val="002B28D0"/>
    <w:rPr>
      <w:rFonts w:cs="Courier New"/>
    </w:rPr>
  </w:style>
  <w:style w:type="character" w:customStyle="1" w:styleId="ListLabel3">
    <w:name w:val="ListLabel 3"/>
    <w:qFormat/>
    <w:rsid w:val="002B28D0"/>
    <w:rPr>
      <w:rFonts w:cs="Wingdings"/>
    </w:rPr>
  </w:style>
  <w:style w:type="character" w:customStyle="1" w:styleId="ListLabel4">
    <w:name w:val="ListLabel 4"/>
    <w:qFormat/>
    <w:rsid w:val="002B28D0"/>
    <w:rPr>
      <w:rFonts w:cs="Symbol"/>
    </w:rPr>
  </w:style>
  <w:style w:type="character" w:customStyle="1" w:styleId="ListLabel5">
    <w:name w:val="ListLabel 5"/>
    <w:qFormat/>
    <w:rsid w:val="002B28D0"/>
    <w:rPr>
      <w:rFonts w:cs="Courier New"/>
    </w:rPr>
  </w:style>
  <w:style w:type="character" w:customStyle="1" w:styleId="ListLabel6">
    <w:name w:val="ListLabel 6"/>
    <w:qFormat/>
    <w:rsid w:val="002B28D0"/>
    <w:rPr>
      <w:rFonts w:cs="Wingdings"/>
    </w:rPr>
  </w:style>
  <w:style w:type="character" w:customStyle="1" w:styleId="ListLabel7">
    <w:name w:val="ListLabel 7"/>
    <w:qFormat/>
    <w:rsid w:val="002B28D0"/>
    <w:rPr>
      <w:rFonts w:cs="Symbol"/>
    </w:rPr>
  </w:style>
  <w:style w:type="character" w:customStyle="1" w:styleId="ListLabel8">
    <w:name w:val="ListLabel 8"/>
    <w:qFormat/>
    <w:rsid w:val="002B28D0"/>
    <w:rPr>
      <w:rFonts w:cs="Courier New"/>
    </w:rPr>
  </w:style>
  <w:style w:type="character" w:customStyle="1" w:styleId="ListLabel9">
    <w:name w:val="ListLabel 9"/>
    <w:qFormat/>
    <w:rsid w:val="002B28D0"/>
    <w:rPr>
      <w:rFonts w:cs="Wingdings"/>
    </w:rPr>
  </w:style>
  <w:style w:type="character" w:customStyle="1" w:styleId="ListLabel10">
    <w:name w:val="ListLabel 10"/>
    <w:qFormat/>
    <w:rsid w:val="002B28D0"/>
    <w:rPr>
      <w:rFonts w:cs="Symbol"/>
      <w:b/>
      <w:sz w:val="22"/>
    </w:rPr>
  </w:style>
  <w:style w:type="character" w:customStyle="1" w:styleId="ListLabel11">
    <w:name w:val="ListLabel 11"/>
    <w:qFormat/>
    <w:rsid w:val="002B28D0"/>
    <w:rPr>
      <w:rFonts w:cs="Courier New"/>
    </w:rPr>
  </w:style>
  <w:style w:type="character" w:customStyle="1" w:styleId="ListLabel12">
    <w:name w:val="ListLabel 12"/>
    <w:qFormat/>
    <w:rsid w:val="002B28D0"/>
    <w:rPr>
      <w:rFonts w:cs="Wingdings"/>
    </w:rPr>
  </w:style>
  <w:style w:type="character" w:customStyle="1" w:styleId="ListLabel13">
    <w:name w:val="ListLabel 13"/>
    <w:qFormat/>
    <w:rsid w:val="002B28D0"/>
    <w:rPr>
      <w:rFonts w:cs="Symbol"/>
    </w:rPr>
  </w:style>
  <w:style w:type="character" w:customStyle="1" w:styleId="ListLabel14">
    <w:name w:val="ListLabel 14"/>
    <w:qFormat/>
    <w:rsid w:val="002B28D0"/>
    <w:rPr>
      <w:rFonts w:cs="Courier New"/>
    </w:rPr>
  </w:style>
  <w:style w:type="character" w:customStyle="1" w:styleId="ListLabel15">
    <w:name w:val="ListLabel 15"/>
    <w:qFormat/>
    <w:rsid w:val="002B28D0"/>
    <w:rPr>
      <w:rFonts w:cs="Wingdings"/>
    </w:rPr>
  </w:style>
  <w:style w:type="character" w:customStyle="1" w:styleId="ListLabel16">
    <w:name w:val="ListLabel 16"/>
    <w:qFormat/>
    <w:rsid w:val="002B28D0"/>
    <w:rPr>
      <w:rFonts w:cs="Symbol"/>
    </w:rPr>
  </w:style>
  <w:style w:type="character" w:customStyle="1" w:styleId="ListLabel17">
    <w:name w:val="ListLabel 17"/>
    <w:qFormat/>
    <w:rsid w:val="002B28D0"/>
    <w:rPr>
      <w:rFonts w:cs="Courier New"/>
    </w:rPr>
  </w:style>
  <w:style w:type="character" w:customStyle="1" w:styleId="ListLabel18">
    <w:name w:val="ListLabel 18"/>
    <w:qFormat/>
    <w:rsid w:val="002B28D0"/>
    <w:rPr>
      <w:rFonts w:cs="Wingdings"/>
    </w:rPr>
  </w:style>
  <w:style w:type="character" w:customStyle="1" w:styleId="ListLabel19">
    <w:name w:val="ListLabel 19"/>
    <w:qFormat/>
    <w:rsid w:val="002B28D0"/>
    <w:rPr>
      <w:rFonts w:cs="Symbol"/>
      <w:b/>
      <w:sz w:val="22"/>
    </w:rPr>
  </w:style>
  <w:style w:type="character" w:customStyle="1" w:styleId="ListLabel20">
    <w:name w:val="ListLabel 20"/>
    <w:qFormat/>
    <w:rsid w:val="002B28D0"/>
    <w:rPr>
      <w:rFonts w:cs="Courier New"/>
    </w:rPr>
  </w:style>
  <w:style w:type="character" w:customStyle="1" w:styleId="ListLabel21">
    <w:name w:val="ListLabel 21"/>
    <w:qFormat/>
    <w:rsid w:val="002B28D0"/>
    <w:rPr>
      <w:rFonts w:cs="Wingdings"/>
    </w:rPr>
  </w:style>
  <w:style w:type="character" w:customStyle="1" w:styleId="ListLabel22">
    <w:name w:val="ListLabel 22"/>
    <w:qFormat/>
    <w:rsid w:val="002B28D0"/>
    <w:rPr>
      <w:rFonts w:cs="Symbol"/>
    </w:rPr>
  </w:style>
  <w:style w:type="character" w:customStyle="1" w:styleId="ListLabel23">
    <w:name w:val="ListLabel 23"/>
    <w:qFormat/>
    <w:rsid w:val="002B28D0"/>
    <w:rPr>
      <w:rFonts w:cs="Courier New"/>
    </w:rPr>
  </w:style>
  <w:style w:type="character" w:customStyle="1" w:styleId="ListLabel24">
    <w:name w:val="ListLabel 24"/>
    <w:qFormat/>
    <w:rsid w:val="002B28D0"/>
    <w:rPr>
      <w:rFonts w:cs="Wingdings"/>
    </w:rPr>
  </w:style>
  <w:style w:type="character" w:customStyle="1" w:styleId="ListLabel25">
    <w:name w:val="ListLabel 25"/>
    <w:qFormat/>
    <w:rsid w:val="002B28D0"/>
    <w:rPr>
      <w:rFonts w:cs="Symbol"/>
    </w:rPr>
  </w:style>
  <w:style w:type="character" w:customStyle="1" w:styleId="ListLabel26">
    <w:name w:val="ListLabel 26"/>
    <w:qFormat/>
    <w:rsid w:val="002B28D0"/>
    <w:rPr>
      <w:rFonts w:cs="Courier New"/>
    </w:rPr>
  </w:style>
  <w:style w:type="character" w:customStyle="1" w:styleId="ListLabel27">
    <w:name w:val="ListLabel 27"/>
    <w:qFormat/>
    <w:rsid w:val="002B28D0"/>
    <w:rPr>
      <w:rFonts w:cs="Wingdings"/>
    </w:rPr>
  </w:style>
  <w:style w:type="character" w:customStyle="1" w:styleId="ListLabel28">
    <w:name w:val="ListLabel 28"/>
    <w:qFormat/>
    <w:rsid w:val="002B28D0"/>
    <w:rPr>
      <w:rFonts w:ascii="Cambria" w:hAnsi="Cambria" w:cs="Symbol"/>
      <w:sz w:val="22"/>
    </w:rPr>
  </w:style>
  <w:style w:type="character" w:customStyle="1" w:styleId="ListLabel29">
    <w:name w:val="ListLabel 29"/>
    <w:qFormat/>
    <w:rsid w:val="002B28D0"/>
    <w:rPr>
      <w:rFonts w:cs="Symbol"/>
      <w:b/>
      <w:sz w:val="22"/>
    </w:rPr>
  </w:style>
  <w:style w:type="character" w:customStyle="1" w:styleId="ListLabel30">
    <w:name w:val="ListLabel 30"/>
    <w:qFormat/>
    <w:rsid w:val="002B28D0"/>
    <w:rPr>
      <w:rFonts w:cs="Courier New"/>
    </w:rPr>
  </w:style>
  <w:style w:type="character" w:customStyle="1" w:styleId="ListLabel31">
    <w:name w:val="ListLabel 31"/>
    <w:qFormat/>
    <w:rsid w:val="002B28D0"/>
    <w:rPr>
      <w:rFonts w:cs="Wingdings"/>
    </w:rPr>
  </w:style>
  <w:style w:type="character" w:customStyle="1" w:styleId="ListLabel32">
    <w:name w:val="ListLabel 32"/>
    <w:qFormat/>
    <w:rsid w:val="002B28D0"/>
    <w:rPr>
      <w:rFonts w:cs="Symbol"/>
    </w:rPr>
  </w:style>
  <w:style w:type="character" w:customStyle="1" w:styleId="ListLabel33">
    <w:name w:val="ListLabel 33"/>
    <w:qFormat/>
    <w:rsid w:val="002B28D0"/>
    <w:rPr>
      <w:rFonts w:cs="Courier New"/>
    </w:rPr>
  </w:style>
  <w:style w:type="character" w:customStyle="1" w:styleId="ListLabel34">
    <w:name w:val="ListLabel 34"/>
    <w:qFormat/>
    <w:rsid w:val="002B28D0"/>
    <w:rPr>
      <w:rFonts w:cs="Wingdings"/>
    </w:rPr>
  </w:style>
  <w:style w:type="character" w:customStyle="1" w:styleId="ListLabel35">
    <w:name w:val="ListLabel 35"/>
    <w:qFormat/>
    <w:rsid w:val="002B28D0"/>
    <w:rPr>
      <w:rFonts w:cs="Symbol"/>
    </w:rPr>
  </w:style>
  <w:style w:type="character" w:customStyle="1" w:styleId="ListLabel36">
    <w:name w:val="ListLabel 36"/>
    <w:qFormat/>
    <w:rsid w:val="002B28D0"/>
    <w:rPr>
      <w:rFonts w:cs="Courier New"/>
    </w:rPr>
  </w:style>
  <w:style w:type="character" w:customStyle="1" w:styleId="ListLabel37">
    <w:name w:val="ListLabel 37"/>
    <w:qFormat/>
    <w:rsid w:val="002B28D0"/>
    <w:rPr>
      <w:rFonts w:cs="Wingdings"/>
    </w:rPr>
  </w:style>
  <w:style w:type="character" w:customStyle="1" w:styleId="ListLabel38">
    <w:name w:val="ListLabel 38"/>
    <w:qFormat/>
    <w:rsid w:val="002B28D0"/>
    <w:rPr>
      <w:rFonts w:cs="Symbol"/>
      <w:b/>
      <w:sz w:val="22"/>
    </w:rPr>
  </w:style>
  <w:style w:type="character" w:customStyle="1" w:styleId="ListLabel39">
    <w:name w:val="ListLabel 39"/>
    <w:qFormat/>
    <w:rsid w:val="002B28D0"/>
    <w:rPr>
      <w:rFonts w:cs="Courier New"/>
    </w:rPr>
  </w:style>
  <w:style w:type="character" w:customStyle="1" w:styleId="ListLabel40">
    <w:name w:val="ListLabel 40"/>
    <w:qFormat/>
    <w:rsid w:val="002B28D0"/>
    <w:rPr>
      <w:rFonts w:cs="Wingdings"/>
    </w:rPr>
  </w:style>
  <w:style w:type="character" w:customStyle="1" w:styleId="ListLabel41">
    <w:name w:val="ListLabel 41"/>
    <w:qFormat/>
    <w:rsid w:val="002B28D0"/>
    <w:rPr>
      <w:rFonts w:cs="Symbol"/>
    </w:rPr>
  </w:style>
  <w:style w:type="character" w:customStyle="1" w:styleId="ListLabel42">
    <w:name w:val="ListLabel 42"/>
    <w:qFormat/>
    <w:rsid w:val="002B28D0"/>
    <w:rPr>
      <w:rFonts w:cs="Courier New"/>
    </w:rPr>
  </w:style>
  <w:style w:type="character" w:customStyle="1" w:styleId="ListLabel43">
    <w:name w:val="ListLabel 43"/>
    <w:qFormat/>
    <w:rsid w:val="002B28D0"/>
    <w:rPr>
      <w:rFonts w:cs="Wingdings"/>
    </w:rPr>
  </w:style>
  <w:style w:type="character" w:customStyle="1" w:styleId="ListLabel44">
    <w:name w:val="ListLabel 44"/>
    <w:qFormat/>
    <w:rsid w:val="002B28D0"/>
    <w:rPr>
      <w:rFonts w:cs="Symbol"/>
    </w:rPr>
  </w:style>
  <w:style w:type="character" w:customStyle="1" w:styleId="ListLabel45">
    <w:name w:val="ListLabel 45"/>
    <w:qFormat/>
    <w:rsid w:val="002B28D0"/>
    <w:rPr>
      <w:rFonts w:cs="Courier New"/>
    </w:rPr>
  </w:style>
  <w:style w:type="character" w:customStyle="1" w:styleId="ListLabel46">
    <w:name w:val="ListLabel 46"/>
    <w:qFormat/>
    <w:rsid w:val="002B28D0"/>
    <w:rPr>
      <w:rFonts w:cs="Wingdings"/>
    </w:rPr>
  </w:style>
  <w:style w:type="character" w:customStyle="1" w:styleId="ListLabel47">
    <w:name w:val="ListLabel 47"/>
    <w:qFormat/>
    <w:rsid w:val="002B28D0"/>
    <w:rPr>
      <w:rFonts w:cs="Times New Roman"/>
      <w:b/>
      <w:sz w:val="22"/>
    </w:rPr>
  </w:style>
  <w:style w:type="character" w:customStyle="1" w:styleId="ListLabel48">
    <w:name w:val="ListLabel 48"/>
    <w:qFormat/>
    <w:rsid w:val="002B28D0"/>
    <w:rPr>
      <w:rFonts w:cs="Courier New"/>
    </w:rPr>
  </w:style>
  <w:style w:type="character" w:customStyle="1" w:styleId="ListLabel49">
    <w:name w:val="ListLabel 49"/>
    <w:qFormat/>
    <w:rsid w:val="002B28D0"/>
    <w:rPr>
      <w:rFonts w:cs="Wingdings"/>
    </w:rPr>
  </w:style>
  <w:style w:type="character" w:customStyle="1" w:styleId="ListLabel50">
    <w:name w:val="ListLabel 50"/>
    <w:qFormat/>
    <w:rsid w:val="002B28D0"/>
    <w:rPr>
      <w:rFonts w:cs="Symbol"/>
    </w:rPr>
  </w:style>
  <w:style w:type="character" w:customStyle="1" w:styleId="ListLabel51">
    <w:name w:val="ListLabel 51"/>
    <w:qFormat/>
    <w:rsid w:val="002B28D0"/>
    <w:rPr>
      <w:rFonts w:cs="Courier New"/>
    </w:rPr>
  </w:style>
  <w:style w:type="character" w:customStyle="1" w:styleId="ListLabel52">
    <w:name w:val="ListLabel 52"/>
    <w:qFormat/>
    <w:rsid w:val="002B28D0"/>
    <w:rPr>
      <w:rFonts w:cs="Wingdings"/>
    </w:rPr>
  </w:style>
  <w:style w:type="character" w:customStyle="1" w:styleId="ListLabel53">
    <w:name w:val="ListLabel 53"/>
    <w:qFormat/>
    <w:rsid w:val="002B28D0"/>
    <w:rPr>
      <w:rFonts w:cs="Symbol"/>
    </w:rPr>
  </w:style>
  <w:style w:type="character" w:customStyle="1" w:styleId="ListLabel54">
    <w:name w:val="ListLabel 54"/>
    <w:qFormat/>
    <w:rsid w:val="002B28D0"/>
    <w:rPr>
      <w:rFonts w:cs="Courier New"/>
    </w:rPr>
  </w:style>
  <w:style w:type="character" w:customStyle="1" w:styleId="ListLabel55">
    <w:name w:val="ListLabel 55"/>
    <w:qFormat/>
    <w:rsid w:val="002B28D0"/>
    <w:rPr>
      <w:rFonts w:cs="Wingdings"/>
    </w:rPr>
  </w:style>
  <w:style w:type="character" w:customStyle="1" w:styleId="ListLabel56">
    <w:name w:val="ListLabel 56"/>
    <w:qFormat/>
    <w:rsid w:val="002B28D0"/>
    <w:rPr>
      <w:rFonts w:cs="Symbol"/>
      <w:b/>
      <w:sz w:val="22"/>
    </w:rPr>
  </w:style>
  <w:style w:type="character" w:customStyle="1" w:styleId="ListLabel57">
    <w:name w:val="ListLabel 57"/>
    <w:qFormat/>
    <w:rsid w:val="002B28D0"/>
    <w:rPr>
      <w:rFonts w:cs="Courier New"/>
    </w:rPr>
  </w:style>
  <w:style w:type="character" w:customStyle="1" w:styleId="ListLabel58">
    <w:name w:val="ListLabel 58"/>
    <w:qFormat/>
    <w:rsid w:val="002B28D0"/>
    <w:rPr>
      <w:rFonts w:cs="Wingdings"/>
    </w:rPr>
  </w:style>
  <w:style w:type="character" w:customStyle="1" w:styleId="ListLabel59">
    <w:name w:val="ListLabel 59"/>
    <w:qFormat/>
    <w:rsid w:val="002B28D0"/>
    <w:rPr>
      <w:rFonts w:cs="Symbol"/>
    </w:rPr>
  </w:style>
  <w:style w:type="character" w:customStyle="1" w:styleId="ListLabel60">
    <w:name w:val="ListLabel 60"/>
    <w:qFormat/>
    <w:rsid w:val="002B28D0"/>
    <w:rPr>
      <w:rFonts w:cs="Courier New"/>
    </w:rPr>
  </w:style>
  <w:style w:type="character" w:customStyle="1" w:styleId="ListLabel61">
    <w:name w:val="ListLabel 61"/>
    <w:qFormat/>
    <w:rsid w:val="002B28D0"/>
    <w:rPr>
      <w:rFonts w:cs="Wingdings"/>
    </w:rPr>
  </w:style>
  <w:style w:type="character" w:customStyle="1" w:styleId="ListLabel62">
    <w:name w:val="ListLabel 62"/>
    <w:qFormat/>
    <w:rsid w:val="002B28D0"/>
    <w:rPr>
      <w:rFonts w:cs="Symbol"/>
    </w:rPr>
  </w:style>
  <w:style w:type="character" w:customStyle="1" w:styleId="ListLabel63">
    <w:name w:val="ListLabel 63"/>
    <w:qFormat/>
    <w:rsid w:val="002B28D0"/>
    <w:rPr>
      <w:rFonts w:cs="Courier New"/>
    </w:rPr>
  </w:style>
  <w:style w:type="character" w:customStyle="1" w:styleId="ListLabel64">
    <w:name w:val="ListLabel 64"/>
    <w:qFormat/>
    <w:rsid w:val="002B28D0"/>
    <w:rPr>
      <w:rFonts w:cs="Wingdings"/>
    </w:rPr>
  </w:style>
  <w:style w:type="character" w:customStyle="1" w:styleId="ListLabel65">
    <w:name w:val="ListLabel 65"/>
    <w:qFormat/>
    <w:rsid w:val="002B28D0"/>
    <w:rPr>
      <w:rFonts w:cs="Symbol"/>
      <w:b/>
      <w:sz w:val="22"/>
    </w:rPr>
  </w:style>
  <w:style w:type="character" w:customStyle="1" w:styleId="ListLabel66">
    <w:name w:val="ListLabel 66"/>
    <w:qFormat/>
    <w:rsid w:val="002B28D0"/>
    <w:rPr>
      <w:rFonts w:cs="Courier New"/>
    </w:rPr>
  </w:style>
  <w:style w:type="character" w:customStyle="1" w:styleId="ListLabel67">
    <w:name w:val="ListLabel 67"/>
    <w:qFormat/>
    <w:rsid w:val="002B28D0"/>
    <w:rPr>
      <w:rFonts w:cs="Wingdings"/>
    </w:rPr>
  </w:style>
  <w:style w:type="character" w:customStyle="1" w:styleId="ListLabel68">
    <w:name w:val="ListLabel 68"/>
    <w:qFormat/>
    <w:rsid w:val="002B28D0"/>
    <w:rPr>
      <w:rFonts w:cs="Symbol"/>
    </w:rPr>
  </w:style>
  <w:style w:type="character" w:customStyle="1" w:styleId="ListLabel69">
    <w:name w:val="ListLabel 69"/>
    <w:qFormat/>
    <w:rsid w:val="002B28D0"/>
    <w:rPr>
      <w:rFonts w:cs="Courier New"/>
    </w:rPr>
  </w:style>
  <w:style w:type="character" w:customStyle="1" w:styleId="ListLabel70">
    <w:name w:val="ListLabel 70"/>
    <w:qFormat/>
    <w:rsid w:val="002B28D0"/>
    <w:rPr>
      <w:rFonts w:cs="Wingdings"/>
    </w:rPr>
  </w:style>
  <w:style w:type="character" w:customStyle="1" w:styleId="ListLabel71">
    <w:name w:val="ListLabel 71"/>
    <w:qFormat/>
    <w:rsid w:val="002B28D0"/>
    <w:rPr>
      <w:rFonts w:cs="Symbol"/>
    </w:rPr>
  </w:style>
  <w:style w:type="character" w:customStyle="1" w:styleId="ListLabel72">
    <w:name w:val="ListLabel 72"/>
    <w:qFormat/>
    <w:rsid w:val="002B28D0"/>
    <w:rPr>
      <w:rFonts w:cs="Courier New"/>
    </w:rPr>
  </w:style>
  <w:style w:type="character" w:customStyle="1" w:styleId="ListLabel73">
    <w:name w:val="ListLabel 73"/>
    <w:qFormat/>
    <w:rsid w:val="002B28D0"/>
    <w:rPr>
      <w:rFonts w:cs="Wingdings"/>
    </w:rPr>
  </w:style>
  <w:style w:type="character" w:customStyle="1" w:styleId="ListLabel74">
    <w:name w:val="ListLabel 74"/>
    <w:qFormat/>
    <w:rsid w:val="002B28D0"/>
    <w:rPr>
      <w:rFonts w:cs="Symbol"/>
      <w:sz w:val="22"/>
    </w:rPr>
  </w:style>
  <w:style w:type="character" w:customStyle="1" w:styleId="ListLabel75">
    <w:name w:val="ListLabel 75"/>
    <w:qFormat/>
    <w:rsid w:val="002B28D0"/>
    <w:rPr>
      <w:rFonts w:cs="Symbol"/>
      <w:b/>
      <w:sz w:val="22"/>
    </w:rPr>
  </w:style>
  <w:style w:type="character" w:customStyle="1" w:styleId="ListLabel76">
    <w:name w:val="ListLabel 76"/>
    <w:qFormat/>
    <w:rsid w:val="002B28D0"/>
    <w:rPr>
      <w:rFonts w:cs="Courier New"/>
    </w:rPr>
  </w:style>
  <w:style w:type="character" w:customStyle="1" w:styleId="ListLabel77">
    <w:name w:val="ListLabel 77"/>
    <w:qFormat/>
    <w:rsid w:val="002B28D0"/>
    <w:rPr>
      <w:rFonts w:cs="Wingdings"/>
    </w:rPr>
  </w:style>
  <w:style w:type="character" w:customStyle="1" w:styleId="ListLabel78">
    <w:name w:val="ListLabel 78"/>
    <w:qFormat/>
    <w:rsid w:val="002B28D0"/>
    <w:rPr>
      <w:rFonts w:cs="Symbol"/>
    </w:rPr>
  </w:style>
  <w:style w:type="character" w:customStyle="1" w:styleId="ListLabel79">
    <w:name w:val="ListLabel 79"/>
    <w:qFormat/>
    <w:rsid w:val="002B28D0"/>
    <w:rPr>
      <w:rFonts w:cs="Courier New"/>
    </w:rPr>
  </w:style>
  <w:style w:type="character" w:customStyle="1" w:styleId="ListLabel80">
    <w:name w:val="ListLabel 80"/>
    <w:qFormat/>
    <w:rsid w:val="002B28D0"/>
    <w:rPr>
      <w:rFonts w:cs="Wingdings"/>
    </w:rPr>
  </w:style>
  <w:style w:type="character" w:customStyle="1" w:styleId="ListLabel81">
    <w:name w:val="ListLabel 81"/>
    <w:qFormat/>
    <w:rsid w:val="002B28D0"/>
    <w:rPr>
      <w:rFonts w:cs="Symbol"/>
    </w:rPr>
  </w:style>
  <w:style w:type="character" w:customStyle="1" w:styleId="ListLabel82">
    <w:name w:val="ListLabel 82"/>
    <w:qFormat/>
    <w:rsid w:val="002B28D0"/>
    <w:rPr>
      <w:rFonts w:cs="Courier New"/>
    </w:rPr>
  </w:style>
  <w:style w:type="character" w:customStyle="1" w:styleId="ListLabel83">
    <w:name w:val="ListLabel 83"/>
    <w:qFormat/>
    <w:rsid w:val="002B28D0"/>
    <w:rPr>
      <w:rFonts w:cs="Wingdings"/>
    </w:rPr>
  </w:style>
  <w:style w:type="character" w:customStyle="1" w:styleId="ListLabel84">
    <w:name w:val="ListLabel 84"/>
    <w:qFormat/>
    <w:rsid w:val="002B28D0"/>
    <w:rPr>
      <w:rFonts w:cs="Symbol"/>
      <w:b/>
      <w:sz w:val="22"/>
    </w:rPr>
  </w:style>
  <w:style w:type="character" w:customStyle="1" w:styleId="ListLabel85">
    <w:name w:val="ListLabel 85"/>
    <w:qFormat/>
    <w:rsid w:val="002B28D0"/>
    <w:rPr>
      <w:rFonts w:cs="Courier New"/>
    </w:rPr>
  </w:style>
  <w:style w:type="character" w:customStyle="1" w:styleId="ListLabel86">
    <w:name w:val="ListLabel 86"/>
    <w:qFormat/>
    <w:rsid w:val="002B28D0"/>
    <w:rPr>
      <w:rFonts w:cs="Wingdings"/>
    </w:rPr>
  </w:style>
  <w:style w:type="character" w:customStyle="1" w:styleId="ListLabel87">
    <w:name w:val="ListLabel 87"/>
    <w:qFormat/>
    <w:rsid w:val="002B28D0"/>
    <w:rPr>
      <w:rFonts w:cs="Symbol"/>
    </w:rPr>
  </w:style>
  <w:style w:type="character" w:customStyle="1" w:styleId="ListLabel88">
    <w:name w:val="ListLabel 88"/>
    <w:qFormat/>
    <w:rsid w:val="002B28D0"/>
    <w:rPr>
      <w:rFonts w:cs="Courier New"/>
    </w:rPr>
  </w:style>
  <w:style w:type="character" w:customStyle="1" w:styleId="ListLabel89">
    <w:name w:val="ListLabel 89"/>
    <w:qFormat/>
    <w:rsid w:val="002B28D0"/>
    <w:rPr>
      <w:rFonts w:cs="Wingdings"/>
    </w:rPr>
  </w:style>
  <w:style w:type="character" w:customStyle="1" w:styleId="ListLabel90">
    <w:name w:val="ListLabel 90"/>
    <w:qFormat/>
    <w:rsid w:val="002B28D0"/>
    <w:rPr>
      <w:rFonts w:cs="Symbol"/>
    </w:rPr>
  </w:style>
  <w:style w:type="character" w:customStyle="1" w:styleId="ListLabel91">
    <w:name w:val="ListLabel 91"/>
    <w:qFormat/>
    <w:rsid w:val="002B28D0"/>
    <w:rPr>
      <w:rFonts w:cs="Courier New"/>
    </w:rPr>
  </w:style>
  <w:style w:type="character" w:customStyle="1" w:styleId="ListLabel92">
    <w:name w:val="ListLabel 92"/>
    <w:qFormat/>
    <w:rsid w:val="002B28D0"/>
    <w:rPr>
      <w:rFonts w:cs="Wingdings"/>
    </w:rPr>
  </w:style>
  <w:style w:type="paragraph" w:styleId="Titolo">
    <w:name w:val="Title"/>
    <w:basedOn w:val="Normale"/>
    <w:next w:val="Corpodeltesto"/>
    <w:link w:val="TitoloCarattere"/>
    <w:qFormat/>
    <w:rsid w:val="009C3055"/>
    <w:pPr>
      <w:jc w:val="center"/>
    </w:pPr>
    <w:rPr>
      <w:sz w:val="28"/>
      <w:szCs w:val="20"/>
    </w:rPr>
  </w:style>
  <w:style w:type="paragraph" w:styleId="Corpodeltesto">
    <w:name w:val="Body Text"/>
    <w:basedOn w:val="Normale"/>
    <w:link w:val="CorpodeltestoCarattere"/>
    <w:semiHidden/>
    <w:rsid w:val="009C3055"/>
    <w:pPr>
      <w:suppressAutoHyphens/>
      <w:spacing w:after="120"/>
    </w:pPr>
    <w:rPr>
      <w:sz w:val="20"/>
      <w:szCs w:val="20"/>
      <w:lang w:eastAsia="zh-CN"/>
    </w:rPr>
  </w:style>
  <w:style w:type="paragraph" w:styleId="Elenco">
    <w:name w:val="List"/>
    <w:basedOn w:val="Corpodeltesto"/>
    <w:rsid w:val="002B28D0"/>
    <w:rPr>
      <w:rFonts w:cs="Mangal"/>
    </w:rPr>
  </w:style>
  <w:style w:type="paragraph" w:customStyle="1" w:styleId="Caption">
    <w:name w:val="Caption"/>
    <w:basedOn w:val="Normale"/>
    <w:qFormat/>
    <w:rsid w:val="002B28D0"/>
    <w:pPr>
      <w:suppressLineNumbers/>
      <w:spacing w:before="120" w:after="120"/>
    </w:pPr>
    <w:rPr>
      <w:rFonts w:cs="Mangal"/>
      <w:i/>
      <w:iCs/>
    </w:rPr>
  </w:style>
  <w:style w:type="paragraph" w:customStyle="1" w:styleId="Indice">
    <w:name w:val="Indice"/>
    <w:basedOn w:val="Normale"/>
    <w:qFormat/>
    <w:rsid w:val="002B28D0"/>
    <w:pPr>
      <w:suppressLineNumbers/>
    </w:pPr>
    <w:rPr>
      <w:rFonts w:cs="Mangal"/>
    </w:rPr>
  </w:style>
  <w:style w:type="paragraph" w:styleId="Corpodeltesto2">
    <w:name w:val="Body Text 2"/>
    <w:basedOn w:val="Normale"/>
    <w:link w:val="Corpodeltesto2Carattere"/>
    <w:uiPriority w:val="99"/>
    <w:unhideWhenUsed/>
    <w:qFormat/>
    <w:rsid w:val="009C3055"/>
    <w:pPr>
      <w:spacing w:after="120" w:line="480" w:lineRule="auto"/>
    </w:pPr>
  </w:style>
  <w:style w:type="paragraph" w:styleId="Corpodeltesto3">
    <w:name w:val="Body Text 3"/>
    <w:basedOn w:val="Normale"/>
    <w:link w:val="Corpodeltesto3Carattere"/>
    <w:uiPriority w:val="99"/>
    <w:semiHidden/>
    <w:unhideWhenUsed/>
    <w:qFormat/>
    <w:rsid w:val="009C3055"/>
    <w:pPr>
      <w:spacing w:after="120"/>
    </w:pPr>
    <w:rPr>
      <w:sz w:val="16"/>
      <w:szCs w:val="16"/>
    </w:rPr>
  </w:style>
  <w:style w:type="paragraph" w:customStyle="1" w:styleId="Intestazione1">
    <w:name w:val="Intestazione1"/>
    <w:basedOn w:val="Normale"/>
    <w:qFormat/>
    <w:rsid w:val="009C3055"/>
    <w:pPr>
      <w:suppressAutoHyphens/>
      <w:jc w:val="center"/>
    </w:pPr>
    <w:rPr>
      <w:sz w:val="28"/>
      <w:szCs w:val="20"/>
      <w:lang w:eastAsia="zh-CN"/>
    </w:rPr>
  </w:style>
  <w:style w:type="paragraph" w:customStyle="1" w:styleId="Corpodeltesto21">
    <w:name w:val="Corpo del testo 21"/>
    <w:basedOn w:val="Normale"/>
    <w:qFormat/>
    <w:rsid w:val="008A55D1"/>
    <w:pPr>
      <w:suppressAutoHyphens/>
      <w:spacing w:before="280" w:after="280"/>
      <w:jc w:val="both"/>
    </w:pPr>
    <w:rPr>
      <w:rFonts w:ascii="Calibri" w:eastAsia="Lucida Sans Unicode" w:hAnsi="Calibri" w:cs="Mangal"/>
      <w:sz w:val="20"/>
      <w:szCs w:val="22"/>
      <w:lang w:eastAsia="en-US" w:bidi="hi-IN"/>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2201</Words>
  <Characters>12552</Characters>
  <Application>Microsoft Office Word</Application>
  <DocSecurity>0</DocSecurity>
  <Lines>104</Lines>
  <Paragraphs>29</Paragraphs>
  <ScaleCrop>false</ScaleCrop>
  <Company/>
  <LinksUpToDate>false</LinksUpToDate>
  <CharactersWithSpaces>14724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pippo</dc:creator>
  <dc:description/>
  <cp:lastModifiedBy>Utente</cp:lastModifiedBy>
  <cp:revision>5</cp:revision>
  <cp:lastPrinted>2018-01-16T10:36:00Z</cp:lastPrinted>
  <dcterms:created xsi:type="dcterms:W3CDTF">2018-01-16T10:30:00Z</dcterms:created>
  <dcterms:modified xsi:type="dcterms:W3CDTF">2018-01-16T10:36:00Z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